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BB05D" w14:textId="19223DF8" w:rsidR="00FD33C1" w:rsidRDefault="008C064B" w:rsidP="008E0FDB">
      <w:pPr>
        <w:pStyle w:val="Corpodetexto"/>
        <w:contextualSpacing/>
        <w:jc w:val="center"/>
      </w:pPr>
      <w:r>
        <w:t>DESEMPENHO DA A</w:t>
      </w:r>
      <w:r w:rsidR="008B3FD2">
        <w:t xml:space="preserve">TIVIDADE </w:t>
      </w:r>
      <w:r w:rsidR="005E0C3C">
        <w:t xml:space="preserve">INDUSTRIAL NO ESTADO DA </w:t>
      </w:r>
      <w:r w:rsidR="005342DC">
        <w:t>PARAÍBA</w:t>
      </w:r>
      <w:r w:rsidR="005E0C3C">
        <w:t xml:space="preserve"> </w:t>
      </w:r>
      <w:r>
        <w:t>de</w:t>
      </w:r>
      <w:r w:rsidR="005E0C3C">
        <w:t xml:space="preserve"> 2016</w:t>
      </w:r>
      <w:r>
        <w:t xml:space="preserve"> a </w:t>
      </w:r>
      <w:r w:rsidR="003B4E5F" w:rsidRPr="002F68A0">
        <w:t>2022.</w:t>
      </w:r>
    </w:p>
    <w:p w14:paraId="3DEEDF01" w14:textId="3DFB5D90" w:rsidR="00D3082A" w:rsidRPr="001A3A68" w:rsidRDefault="00D3082A" w:rsidP="008E0FDB">
      <w:pPr>
        <w:pStyle w:val="Corpodetexto"/>
        <w:contextualSpacing/>
        <w:jc w:val="center"/>
      </w:pPr>
      <w:r w:rsidRPr="001A3A68">
        <w:rPr>
          <w:i/>
        </w:rPr>
        <w:t xml:space="preserve">Eixo Temático: GT “2” – </w:t>
      </w:r>
      <w:r w:rsidR="001A3A68" w:rsidRPr="001A3A68">
        <w:rPr>
          <w:shd w:val="clear" w:color="auto" w:fill="FFFFFF"/>
        </w:rPr>
        <w:t>Macroeconomia, Economia Internacional, Economia Brasileira, Economia Regional e Economia Baiana.</w:t>
      </w:r>
    </w:p>
    <w:p w14:paraId="5DD07749" w14:textId="77777777" w:rsidR="00FD33C1" w:rsidRPr="002F68A0" w:rsidRDefault="00FD33C1" w:rsidP="008E0FDB">
      <w:pPr>
        <w:tabs>
          <w:tab w:val="left" w:pos="1635"/>
        </w:tabs>
        <w:spacing w:after="0" w:line="240" w:lineRule="auto"/>
        <w:contextualSpacing/>
        <w:jc w:val="center"/>
        <w:rPr>
          <w:rFonts w:ascii="Times New Roman" w:hAnsi="Times New Roman" w:cs="Times New Roman"/>
          <w:b/>
          <w:bCs/>
          <w:sz w:val="24"/>
          <w:szCs w:val="24"/>
        </w:rPr>
      </w:pPr>
    </w:p>
    <w:p w14:paraId="7106E278" w14:textId="428389D9" w:rsidR="00450F17" w:rsidRPr="002F68A0" w:rsidRDefault="00010813" w:rsidP="008E0FDB">
      <w:pPr>
        <w:spacing w:after="0" w:line="240" w:lineRule="auto"/>
        <w:contextualSpacing/>
        <w:jc w:val="right"/>
        <w:rPr>
          <w:rFonts w:ascii="Times New Roman" w:hAnsi="Times New Roman" w:cs="Times New Roman"/>
          <w:sz w:val="24"/>
          <w:szCs w:val="24"/>
        </w:rPr>
      </w:pPr>
      <w:r w:rsidRPr="002F68A0">
        <w:rPr>
          <w:rFonts w:ascii="Times New Roman" w:hAnsi="Times New Roman" w:cs="Times New Roman"/>
          <w:sz w:val="24"/>
          <w:szCs w:val="24"/>
        </w:rPr>
        <w:t>Wilton Macedo Santos</w:t>
      </w:r>
      <w:r w:rsidR="00450F17" w:rsidRPr="002F68A0">
        <w:rPr>
          <w:rStyle w:val="Refdenotaderodap"/>
          <w:rFonts w:ascii="Times New Roman" w:hAnsi="Times New Roman"/>
          <w:szCs w:val="24"/>
        </w:rPr>
        <w:footnoteReference w:id="1"/>
      </w:r>
      <w:r w:rsidR="00450F17" w:rsidRPr="002F68A0">
        <w:rPr>
          <w:rFonts w:ascii="Times New Roman" w:hAnsi="Times New Roman" w:cs="Times New Roman"/>
          <w:sz w:val="24"/>
          <w:szCs w:val="24"/>
        </w:rPr>
        <w:t xml:space="preserve"> </w:t>
      </w:r>
    </w:p>
    <w:p w14:paraId="302B08E9" w14:textId="1777315F" w:rsidR="00450F17" w:rsidRPr="002F68A0" w:rsidRDefault="003B4E5F" w:rsidP="008E0FDB">
      <w:pPr>
        <w:spacing w:after="0" w:line="240" w:lineRule="auto"/>
        <w:contextualSpacing/>
        <w:jc w:val="right"/>
        <w:rPr>
          <w:rFonts w:ascii="Times New Roman" w:hAnsi="Times New Roman" w:cs="Times New Roman"/>
          <w:sz w:val="24"/>
          <w:szCs w:val="24"/>
        </w:rPr>
      </w:pPr>
      <w:proofErr w:type="spellStart"/>
      <w:r w:rsidRPr="002F68A0">
        <w:rPr>
          <w:rFonts w:ascii="Times New Roman" w:hAnsi="Times New Roman" w:cs="Times New Roman"/>
          <w:sz w:val="24"/>
          <w:szCs w:val="24"/>
        </w:rPr>
        <w:t>Byanca</w:t>
      </w:r>
      <w:proofErr w:type="spellEnd"/>
      <w:r w:rsidRPr="002F68A0">
        <w:rPr>
          <w:rFonts w:ascii="Times New Roman" w:hAnsi="Times New Roman" w:cs="Times New Roman"/>
          <w:sz w:val="24"/>
          <w:szCs w:val="24"/>
        </w:rPr>
        <w:t xml:space="preserve"> Pereira Soares</w:t>
      </w:r>
      <w:r w:rsidR="00450F17" w:rsidRPr="002F68A0">
        <w:rPr>
          <w:rStyle w:val="Refdenotaderodap"/>
          <w:rFonts w:ascii="Times New Roman" w:hAnsi="Times New Roman"/>
          <w:szCs w:val="24"/>
        </w:rPr>
        <w:footnoteReference w:id="2"/>
      </w:r>
    </w:p>
    <w:p w14:paraId="1EA800BA" w14:textId="77777777" w:rsidR="00450F17" w:rsidRPr="002F68A0" w:rsidRDefault="00450F17" w:rsidP="008E0FDB">
      <w:pPr>
        <w:spacing w:after="0" w:line="240" w:lineRule="auto"/>
        <w:contextualSpacing/>
        <w:jc w:val="right"/>
        <w:rPr>
          <w:rFonts w:ascii="Times New Roman" w:hAnsi="Times New Roman" w:cs="Times New Roman"/>
          <w:sz w:val="24"/>
          <w:szCs w:val="24"/>
        </w:rPr>
      </w:pPr>
      <w:r w:rsidRPr="002F68A0">
        <w:rPr>
          <w:rFonts w:ascii="Times New Roman" w:hAnsi="Times New Roman" w:cs="Times New Roman"/>
          <w:sz w:val="24"/>
          <w:szCs w:val="24"/>
        </w:rPr>
        <w:t>Gustavo Joaquim Lisboa</w:t>
      </w:r>
      <w:r w:rsidRPr="002F68A0">
        <w:rPr>
          <w:rStyle w:val="Refdenotaderodap"/>
          <w:rFonts w:ascii="Times New Roman" w:hAnsi="Times New Roman"/>
          <w:szCs w:val="24"/>
        </w:rPr>
        <w:footnoteReference w:id="3"/>
      </w:r>
    </w:p>
    <w:p w14:paraId="38171096" w14:textId="77777777" w:rsidR="00FD33C1" w:rsidRPr="002F68A0" w:rsidRDefault="00450F17" w:rsidP="008E0FDB">
      <w:pPr>
        <w:spacing w:after="0" w:line="240" w:lineRule="auto"/>
        <w:contextualSpacing/>
        <w:jc w:val="right"/>
        <w:rPr>
          <w:rFonts w:ascii="Times New Roman" w:hAnsi="Times New Roman" w:cs="Times New Roman"/>
          <w:sz w:val="24"/>
          <w:szCs w:val="24"/>
        </w:rPr>
      </w:pPr>
      <w:proofErr w:type="spellStart"/>
      <w:r w:rsidRPr="002F68A0">
        <w:rPr>
          <w:rFonts w:ascii="Times New Roman" w:hAnsi="Times New Roman" w:cs="Times New Roman"/>
          <w:sz w:val="24"/>
          <w:szCs w:val="24"/>
        </w:rPr>
        <w:t>Aniram</w:t>
      </w:r>
      <w:proofErr w:type="spellEnd"/>
      <w:r w:rsidRPr="002F68A0">
        <w:rPr>
          <w:rFonts w:ascii="Times New Roman" w:hAnsi="Times New Roman" w:cs="Times New Roman"/>
          <w:sz w:val="24"/>
          <w:szCs w:val="24"/>
        </w:rPr>
        <w:t xml:space="preserve"> Lins Cavalcante</w:t>
      </w:r>
      <w:r w:rsidRPr="002F68A0">
        <w:rPr>
          <w:rStyle w:val="Refdenotaderodap"/>
          <w:rFonts w:ascii="Times New Roman" w:hAnsi="Times New Roman"/>
          <w:szCs w:val="24"/>
        </w:rPr>
        <w:footnoteReference w:id="4"/>
      </w:r>
    </w:p>
    <w:p w14:paraId="356CACE6" w14:textId="77777777" w:rsidR="00FD33C1" w:rsidRPr="002F68A0" w:rsidRDefault="00FD33C1" w:rsidP="008E0FDB">
      <w:pPr>
        <w:spacing w:after="0" w:line="240" w:lineRule="auto"/>
        <w:contextualSpacing/>
        <w:jc w:val="right"/>
        <w:rPr>
          <w:rFonts w:ascii="Times New Roman" w:hAnsi="Times New Roman" w:cs="Times New Roman"/>
          <w:sz w:val="24"/>
          <w:szCs w:val="24"/>
        </w:rPr>
      </w:pPr>
    </w:p>
    <w:p w14:paraId="0DDAA835" w14:textId="697C3D7C" w:rsidR="004F03E3" w:rsidRDefault="004F03E3" w:rsidP="008E0FDB">
      <w:pPr>
        <w:spacing w:after="0" w:line="240" w:lineRule="auto"/>
        <w:contextualSpacing/>
        <w:jc w:val="both"/>
        <w:rPr>
          <w:rFonts w:ascii="Times New Roman" w:hAnsi="Times New Roman" w:cs="Times New Roman"/>
          <w:sz w:val="24"/>
          <w:szCs w:val="24"/>
        </w:rPr>
      </w:pPr>
      <w:r w:rsidRPr="002F68A0">
        <w:rPr>
          <w:rFonts w:ascii="Times New Roman" w:hAnsi="Times New Roman" w:cs="Times New Roman"/>
          <w:b/>
          <w:bCs/>
          <w:sz w:val="24"/>
          <w:szCs w:val="24"/>
        </w:rPr>
        <w:t>RESUMO</w:t>
      </w:r>
    </w:p>
    <w:p w14:paraId="61C7B1E9" w14:textId="3DE1F35E" w:rsidR="00450F17" w:rsidRPr="002F68A0" w:rsidRDefault="008F164F" w:rsidP="008E0FDB">
      <w:pPr>
        <w:spacing w:after="0" w:line="240" w:lineRule="auto"/>
        <w:contextualSpacing/>
        <w:jc w:val="both"/>
        <w:rPr>
          <w:rFonts w:ascii="Times New Roman" w:hAnsi="Times New Roman" w:cs="Times New Roman"/>
          <w:sz w:val="24"/>
          <w:szCs w:val="24"/>
        </w:rPr>
      </w:pPr>
      <w:r w:rsidRPr="002F68A0">
        <w:rPr>
          <w:rFonts w:ascii="Times New Roman" w:hAnsi="Times New Roman" w:cs="Times New Roman"/>
          <w:sz w:val="24"/>
          <w:szCs w:val="24"/>
        </w:rPr>
        <w:t xml:space="preserve">O presente artigo analisa o </w:t>
      </w:r>
      <w:r w:rsidR="007C2B14">
        <w:rPr>
          <w:rFonts w:ascii="Times New Roman" w:hAnsi="Times New Roman" w:cs="Times New Roman"/>
          <w:sz w:val="24"/>
          <w:szCs w:val="24"/>
        </w:rPr>
        <w:t xml:space="preserve">desempenho do setor industrial e o papel das despesas governamentais do estado da </w:t>
      </w:r>
      <w:r w:rsidR="005342DC">
        <w:rPr>
          <w:rFonts w:ascii="Times New Roman" w:hAnsi="Times New Roman" w:cs="Times New Roman"/>
          <w:sz w:val="24"/>
          <w:szCs w:val="24"/>
        </w:rPr>
        <w:t>Paraíba</w:t>
      </w:r>
      <w:r w:rsidR="007C2B14">
        <w:rPr>
          <w:rFonts w:ascii="Times New Roman" w:hAnsi="Times New Roman" w:cs="Times New Roman"/>
          <w:sz w:val="24"/>
          <w:szCs w:val="24"/>
        </w:rPr>
        <w:t xml:space="preserve"> n</w:t>
      </w:r>
      <w:r w:rsidRPr="002F68A0">
        <w:rPr>
          <w:rFonts w:ascii="Times New Roman" w:hAnsi="Times New Roman" w:cs="Times New Roman"/>
          <w:sz w:val="24"/>
          <w:szCs w:val="24"/>
        </w:rPr>
        <w:t xml:space="preserve">o desenvolvimento industrial do estado entre os anos de 2016 e 2022. Com base em dados secundários obtidos junto ao Portal da Transparência da </w:t>
      </w:r>
      <w:r w:rsidR="005342DC">
        <w:rPr>
          <w:rFonts w:ascii="Times New Roman" w:hAnsi="Times New Roman" w:cs="Times New Roman"/>
          <w:sz w:val="24"/>
          <w:szCs w:val="24"/>
        </w:rPr>
        <w:t>Paraíba</w:t>
      </w:r>
      <w:r w:rsidRPr="002F68A0">
        <w:rPr>
          <w:rFonts w:ascii="Times New Roman" w:hAnsi="Times New Roman" w:cs="Times New Roman"/>
          <w:sz w:val="24"/>
          <w:szCs w:val="24"/>
        </w:rPr>
        <w:t>, IBGE, Ministério do Trabalho e CINEP, a pesquisa descreve a evolução dos investimentos públicos voltados à atividade industrial</w:t>
      </w:r>
      <w:r w:rsidR="00567069">
        <w:rPr>
          <w:rFonts w:ascii="Times New Roman" w:hAnsi="Times New Roman" w:cs="Times New Roman"/>
          <w:sz w:val="24"/>
          <w:szCs w:val="24"/>
        </w:rPr>
        <w:t>,</w:t>
      </w:r>
      <w:r w:rsidR="00092345">
        <w:rPr>
          <w:rFonts w:ascii="Times New Roman" w:hAnsi="Times New Roman" w:cs="Times New Roman"/>
          <w:sz w:val="24"/>
          <w:szCs w:val="24"/>
        </w:rPr>
        <w:t xml:space="preserve"> </w:t>
      </w:r>
      <w:r w:rsidRPr="002F68A0">
        <w:rPr>
          <w:rFonts w:ascii="Times New Roman" w:hAnsi="Times New Roman" w:cs="Times New Roman"/>
          <w:sz w:val="24"/>
          <w:szCs w:val="24"/>
        </w:rPr>
        <w:t xml:space="preserve">os indicadores </w:t>
      </w:r>
      <w:r w:rsidR="00092345">
        <w:rPr>
          <w:rFonts w:ascii="Times New Roman" w:hAnsi="Times New Roman" w:cs="Times New Roman"/>
          <w:sz w:val="24"/>
          <w:szCs w:val="24"/>
        </w:rPr>
        <w:t>de</w:t>
      </w:r>
      <w:r w:rsidRPr="002F68A0">
        <w:rPr>
          <w:rFonts w:ascii="Times New Roman" w:hAnsi="Times New Roman" w:cs="Times New Roman"/>
          <w:sz w:val="24"/>
          <w:szCs w:val="24"/>
        </w:rPr>
        <w:t xml:space="preserve"> geração de empregos,</w:t>
      </w:r>
      <w:r w:rsidR="00567069">
        <w:rPr>
          <w:rFonts w:ascii="Times New Roman" w:hAnsi="Times New Roman" w:cs="Times New Roman"/>
          <w:sz w:val="24"/>
          <w:szCs w:val="24"/>
        </w:rPr>
        <w:t xml:space="preserve"> a</w:t>
      </w:r>
      <w:r w:rsidRPr="002F68A0">
        <w:rPr>
          <w:rFonts w:ascii="Times New Roman" w:hAnsi="Times New Roman" w:cs="Times New Roman"/>
          <w:sz w:val="24"/>
          <w:szCs w:val="24"/>
        </w:rPr>
        <w:t xml:space="preserve"> implantação de unidades industriais e participação setorial no PIB. Os resultados apontam para </w:t>
      </w:r>
      <w:r w:rsidR="007C2B14">
        <w:rPr>
          <w:rFonts w:ascii="Times New Roman" w:hAnsi="Times New Roman" w:cs="Times New Roman"/>
          <w:sz w:val="24"/>
          <w:szCs w:val="24"/>
        </w:rPr>
        <w:t xml:space="preserve">uma atuação estratégica do governo, por meio </w:t>
      </w:r>
      <w:r w:rsidR="007C2B14" w:rsidRPr="002F68A0">
        <w:rPr>
          <w:rFonts w:ascii="Times New Roman" w:hAnsi="Times New Roman" w:cs="Times New Roman"/>
          <w:sz w:val="24"/>
          <w:szCs w:val="24"/>
        </w:rPr>
        <w:t xml:space="preserve">da Companhia de Desenvolvimento da </w:t>
      </w:r>
      <w:r w:rsidR="005342DC">
        <w:rPr>
          <w:rFonts w:ascii="Times New Roman" w:hAnsi="Times New Roman" w:cs="Times New Roman"/>
          <w:sz w:val="24"/>
          <w:szCs w:val="24"/>
        </w:rPr>
        <w:t>Paraíba</w:t>
      </w:r>
      <w:r w:rsidR="007C2B14" w:rsidRPr="002F68A0">
        <w:rPr>
          <w:rFonts w:ascii="Times New Roman" w:hAnsi="Times New Roman" w:cs="Times New Roman"/>
          <w:sz w:val="24"/>
          <w:szCs w:val="24"/>
        </w:rPr>
        <w:t xml:space="preserve"> (CINEP)</w:t>
      </w:r>
      <w:r w:rsidR="00092345">
        <w:rPr>
          <w:rFonts w:ascii="Times New Roman" w:hAnsi="Times New Roman" w:cs="Times New Roman"/>
          <w:sz w:val="24"/>
          <w:szCs w:val="24"/>
        </w:rPr>
        <w:t>,</w:t>
      </w:r>
      <w:r w:rsidRPr="002F68A0">
        <w:rPr>
          <w:rFonts w:ascii="Times New Roman" w:hAnsi="Times New Roman" w:cs="Times New Roman"/>
          <w:sz w:val="24"/>
          <w:szCs w:val="24"/>
        </w:rPr>
        <w:t xml:space="preserve"> o Fundo de Apoio ao Desenvolvimento Industrial da </w:t>
      </w:r>
      <w:r w:rsidR="005342DC">
        <w:rPr>
          <w:rFonts w:ascii="Times New Roman" w:hAnsi="Times New Roman" w:cs="Times New Roman"/>
          <w:sz w:val="24"/>
          <w:szCs w:val="24"/>
        </w:rPr>
        <w:t>Paraíba</w:t>
      </w:r>
      <w:r w:rsidRPr="002F68A0">
        <w:rPr>
          <w:rFonts w:ascii="Times New Roman" w:hAnsi="Times New Roman" w:cs="Times New Roman"/>
          <w:sz w:val="24"/>
          <w:szCs w:val="24"/>
        </w:rPr>
        <w:t xml:space="preserve"> (FAIN) e dos Incentivos Locacionais, que contribuíram para atrair empreendimentos e diversificar a matriz produtiva esta</w:t>
      </w:r>
      <w:r w:rsidR="00092345">
        <w:rPr>
          <w:rFonts w:ascii="Times New Roman" w:hAnsi="Times New Roman" w:cs="Times New Roman"/>
          <w:sz w:val="24"/>
          <w:szCs w:val="24"/>
        </w:rPr>
        <w:t>dual e</w:t>
      </w:r>
      <w:r w:rsidRPr="002F68A0">
        <w:rPr>
          <w:rFonts w:ascii="Times New Roman" w:hAnsi="Times New Roman" w:cs="Times New Roman"/>
          <w:sz w:val="24"/>
          <w:szCs w:val="24"/>
        </w:rPr>
        <w:t xml:space="preserve"> fortalec</w:t>
      </w:r>
      <w:r w:rsidR="00092345">
        <w:rPr>
          <w:rFonts w:ascii="Times New Roman" w:hAnsi="Times New Roman" w:cs="Times New Roman"/>
          <w:sz w:val="24"/>
          <w:szCs w:val="24"/>
        </w:rPr>
        <w:t>er</w:t>
      </w:r>
      <w:r w:rsidRPr="002F68A0">
        <w:rPr>
          <w:rFonts w:ascii="Times New Roman" w:hAnsi="Times New Roman" w:cs="Times New Roman"/>
          <w:sz w:val="24"/>
          <w:szCs w:val="24"/>
        </w:rPr>
        <w:t xml:space="preserve"> o setor industrial, especialmente nas indúst</w:t>
      </w:r>
      <w:r w:rsidR="00092345">
        <w:rPr>
          <w:rFonts w:ascii="Times New Roman" w:hAnsi="Times New Roman" w:cs="Times New Roman"/>
          <w:sz w:val="24"/>
          <w:szCs w:val="24"/>
        </w:rPr>
        <w:t>rias de transformação, apesar dos</w:t>
      </w:r>
      <w:r w:rsidRPr="002F68A0">
        <w:rPr>
          <w:rFonts w:ascii="Times New Roman" w:hAnsi="Times New Roman" w:cs="Times New Roman"/>
          <w:sz w:val="24"/>
          <w:szCs w:val="24"/>
        </w:rPr>
        <w:t xml:space="preserve"> desafios </w:t>
      </w:r>
      <w:r w:rsidR="00092345">
        <w:rPr>
          <w:rFonts w:ascii="Times New Roman" w:hAnsi="Times New Roman" w:cs="Times New Roman"/>
          <w:sz w:val="24"/>
          <w:szCs w:val="24"/>
        </w:rPr>
        <w:t>d</w:t>
      </w:r>
      <w:r w:rsidRPr="002F68A0">
        <w:rPr>
          <w:rFonts w:ascii="Times New Roman" w:hAnsi="Times New Roman" w:cs="Times New Roman"/>
          <w:sz w:val="24"/>
          <w:szCs w:val="24"/>
        </w:rPr>
        <w:t>os impactos da pandemia</w:t>
      </w:r>
      <w:r w:rsidR="00092345">
        <w:rPr>
          <w:rFonts w:ascii="Times New Roman" w:hAnsi="Times New Roman" w:cs="Times New Roman"/>
          <w:sz w:val="24"/>
          <w:szCs w:val="24"/>
        </w:rPr>
        <w:t>.</w:t>
      </w:r>
    </w:p>
    <w:p w14:paraId="241C431F" w14:textId="77777777" w:rsidR="00567069" w:rsidRDefault="00567069" w:rsidP="00F4540C">
      <w:pPr>
        <w:spacing w:after="0"/>
        <w:contextualSpacing/>
        <w:rPr>
          <w:rFonts w:ascii="Times New Roman" w:hAnsi="Times New Roman" w:cs="Times New Roman"/>
          <w:b/>
          <w:bCs/>
          <w:sz w:val="24"/>
          <w:szCs w:val="24"/>
        </w:rPr>
      </w:pPr>
    </w:p>
    <w:p w14:paraId="373BAFA0" w14:textId="4A5E70DA" w:rsidR="008F164F" w:rsidRPr="002F68A0" w:rsidRDefault="00450F17" w:rsidP="00F4540C">
      <w:pPr>
        <w:spacing w:after="0"/>
        <w:contextualSpacing/>
        <w:rPr>
          <w:rFonts w:ascii="Times New Roman" w:hAnsi="Times New Roman" w:cs="Times New Roman"/>
          <w:sz w:val="24"/>
          <w:szCs w:val="24"/>
        </w:rPr>
      </w:pPr>
      <w:r w:rsidRPr="002F68A0">
        <w:rPr>
          <w:rFonts w:ascii="Times New Roman" w:hAnsi="Times New Roman" w:cs="Times New Roman"/>
          <w:b/>
          <w:bCs/>
          <w:sz w:val="24"/>
          <w:szCs w:val="24"/>
        </w:rPr>
        <w:t>Palavras-chave:</w:t>
      </w:r>
      <w:r w:rsidRPr="002F68A0">
        <w:rPr>
          <w:rFonts w:ascii="Times New Roman" w:hAnsi="Times New Roman" w:cs="Times New Roman"/>
          <w:sz w:val="24"/>
          <w:szCs w:val="24"/>
        </w:rPr>
        <w:t xml:space="preserve"> </w:t>
      </w:r>
      <w:r w:rsidR="008F164F" w:rsidRPr="002F68A0">
        <w:rPr>
          <w:rFonts w:ascii="Times New Roman" w:hAnsi="Times New Roman" w:cs="Times New Roman"/>
          <w:sz w:val="24"/>
          <w:szCs w:val="24"/>
        </w:rPr>
        <w:t xml:space="preserve">CINEP; Desenvolvimento industrial; </w:t>
      </w:r>
      <w:r w:rsidR="005342DC">
        <w:rPr>
          <w:rFonts w:ascii="Times New Roman" w:hAnsi="Times New Roman" w:cs="Times New Roman"/>
          <w:sz w:val="24"/>
          <w:szCs w:val="24"/>
        </w:rPr>
        <w:t>Paraíba</w:t>
      </w:r>
      <w:r w:rsidR="008F164F" w:rsidRPr="002F68A0">
        <w:rPr>
          <w:rFonts w:ascii="Times New Roman" w:hAnsi="Times New Roman" w:cs="Times New Roman"/>
          <w:sz w:val="24"/>
          <w:szCs w:val="24"/>
        </w:rPr>
        <w:t>; Políticas públicas; FAIN.</w:t>
      </w:r>
    </w:p>
    <w:p w14:paraId="163582FB" w14:textId="77777777" w:rsidR="00FD33C1" w:rsidRPr="002F68A0" w:rsidRDefault="00FD33C1" w:rsidP="00F4540C">
      <w:pPr>
        <w:spacing w:after="0" w:line="240" w:lineRule="auto"/>
        <w:contextualSpacing/>
        <w:jc w:val="both"/>
        <w:rPr>
          <w:rFonts w:ascii="Times New Roman" w:hAnsi="Times New Roman" w:cs="Times New Roman"/>
          <w:sz w:val="24"/>
          <w:szCs w:val="24"/>
        </w:rPr>
      </w:pPr>
    </w:p>
    <w:p w14:paraId="44E2F2E3" w14:textId="643748C5" w:rsidR="0037784E" w:rsidRPr="002F68A0" w:rsidRDefault="00623A73" w:rsidP="00F4540C">
      <w:pPr>
        <w:pStyle w:val="Ttulo1"/>
        <w:numPr>
          <w:ilvl w:val="0"/>
          <w:numId w:val="25"/>
        </w:numPr>
        <w:ind w:left="0" w:firstLine="0"/>
        <w:contextualSpacing/>
      </w:pPr>
      <w:r w:rsidRPr="002F68A0">
        <w:t>INTRODUÇÃO</w:t>
      </w:r>
    </w:p>
    <w:p w14:paraId="1CECAB97" w14:textId="77777777" w:rsidR="00CC16DC" w:rsidRPr="002F68A0" w:rsidRDefault="00CC16DC" w:rsidP="008E0FDB">
      <w:pPr>
        <w:spacing w:after="0"/>
        <w:contextualSpacing/>
        <w:jc w:val="both"/>
        <w:rPr>
          <w:rFonts w:ascii="Times New Roman" w:hAnsi="Times New Roman" w:cs="Times New Roman"/>
          <w:sz w:val="24"/>
          <w:szCs w:val="24"/>
        </w:rPr>
      </w:pPr>
    </w:p>
    <w:p w14:paraId="6A0C9833" w14:textId="46DB5FEB" w:rsidR="005D2776" w:rsidRPr="005D2776" w:rsidRDefault="005D2776" w:rsidP="00F4540C">
      <w:pPr>
        <w:spacing w:after="0" w:line="360" w:lineRule="auto"/>
        <w:ind w:firstLine="567"/>
        <w:contextualSpacing/>
        <w:jc w:val="both"/>
        <w:rPr>
          <w:rFonts w:ascii="Times New Roman" w:hAnsi="Times New Roman" w:cs="Times New Roman"/>
          <w:sz w:val="24"/>
          <w:szCs w:val="24"/>
        </w:rPr>
      </w:pPr>
      <w:r w:rsidRPr="005D2776">
        <w:rPr>
          <w:rFonts w:ascii="Times New Roman" w:hAnsi="Times New Roman" w:cs="Times New Roman"/>
          <w:sz w:val="24"/>
          <w:szCs w:val="24"/>
        </w:rPr>
        <w:t>A industrialização é historicamente reconhecida como um dos principais motores do desenvolvimento econômico e social. A experiência internacional demonstra que o avanço da indústria está associado ao aumento da produtividade, à geração de empregos formais e ao fortalecimento da capacidade tecnológica dos países. No Brasil, esse processo se intensificou a partir da década de 1930, quando o Estado passou a atuar como agente promotor do crescimento por meio de políticas de substituição de importações e investimentos em infraestrutura (Chaves, 2008; Fiani, 2007). A consolidação de um parque industrial nacional gerou efeitos positivos sobre o mercado interno, contribuindo para a urbanização, a diversificação produtiva e a integração territorial.</w:t>
      </w:r>
    </w:p>
    <w:p w14:paraId="785B57C7" w14:textId="05A2B4DC" w:rsidR="005D2776" w:rsidRPr="005D2776" w:rsidRDefault="005D2776" w:rsidP="005D2776">
      <w:pPr>
        <w:spacing w:after="0" w:line="360" w:lineRule="auto"/>
        <w:ind w:firstLine="567"/>
        <w:contextualSpacing/>
        <w:jc w:val="both"/>
        <w:rPr>
          <w:rFonts w:ascii="Times New Roman" w:hAnsi="Times New Roman" w:cs="Times New Roman"/>
          <w:sz w:val="24"/>
          <w:szCs w:val="24"/>
        </w:rPr>
      </w:pPr>
      <w:r w:rsidRPr="005D2776">
        <w:rPr>
          <w:rFonts w:ascii="Times New Roman" w:hAnsi="Times New Roman" w:cs="Times New Roman"/>
          <w:sz w:val="24"/>
          <w:szCs w:val="24"/>
        </w:rPr>
        <w:lastRenderedPageBreak/>
        <w:t xml:space="preserve">Na </w:t>
      </w:r>
      <w:r w:rsidR="005342DC">
        <w:rPr>
          <w:rFonts w:ascii="Times New Roman" w:hAnsi="Times New Roman" w:cs="Times New Roman"/>
          <w:sz w:val="24"/>
          <w:szCs w:val="24"/>
        </w:rPr>
        <w:t>Paraíba</w:t>
      </w:r>
      <w:r w:rsidRPr="005D2776">
        <w:rPr>
          <w:rFonts w:ascii="Times New Roman" w:hAnsi="Times New Roman" w:cs="Times New Roman"/>
          <w:sz w:val="24"/>
          <w:szCs w:val="24"/>
        </w:rPr>
        <w:t xml:space="preserve">, a Companhia de Desenvolvimento da </w:t>
      </w:r>
      <w:r w:rsidR="005342DC">
        <w:rPr>
          <w:rFonts w:ascii="Times New Roman" w:hAnsi="Times New Roman" w:cs="Times New Roman"/>
          <w:sz w:val="24"/>
          <w:szCs w:val="24"/>
        </w:rPr>
        <w:t>Paraíba</w:t>
      </w:r>
      <w:r w:rsidRPr="005D2776">
        <w:rPr>
          <w:rFonts w:ascii="Times New Roman" w:hAnsi="Times New Roman" w:cs="Times New Roman"/>
          <w:sz w:val="24"/>
          <w:szCs w:val="24"/>
        </w:rPr>
        <w:t xml:space="preserve"> (CINEP) é o principal órgão responsável pela formulação e execução da política industrial estadual. Criada em 1965, a Companhia atua na atração de investimentos, na gestão de incentivos fiscais e locacionais e no suporte técnico a empreendimentos industriais. Seu papel tem sido decisivo em diversos ciclos de crescimento do setor, especialmente a partir da década de 1990, quando se intensificaram os programas de concessão de terrenos e incentivos tributários voltados à instalação de empresas nos distritos industriais (CINEP, 2016).</w:t>
      </w:r>
    </w:p>
    <w:p w14:paraId="634363C1" w14:textId="19A74E81" w:rsidR="005D2776" w:rsidRPr="005D2776" w:rsidRDefault="005D2776" w:rsidP="005D2776">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Entre 2016 e 2022, se observou</w:t>
      </w:r>
      <w:r w:rsidRPr="005D2776">
        <w:rPr>
          <w:rFonts w:ascii="Times New Roman" w:hAnsi="Times New Roman" w:cs="Times New Roman"/>
          <w:sz w:val="24"/>
          <w:szCs w:val="24"/>
        </w:rPr>
        <w:t xml:space="preserve"> uma intensificação das estratégias estaduais de fomento industrial. De acordo com dados do Portal da Transparência da </w:t>
      </w:r>
      <w:r w:rsidR="005342DC">
        <w:rPr>
          <w:rFonts w:ascii="Times New Roman" w:hAnsi="Times New Roman" w:cs="Times New Roman"/>
          <w:sz w:val="24"/>
          <w:szCs w:val="24"/>
        </w:rPr>
        <w:t>Paraíba</w:t>
      </w:r>
      <w:r w:rsidRPr="005D2776">
        <w:rPr>
          <w:rFonts w:ascii="Times New Roman" w:hAnsi="Times New Roman" w:cs="Times New Roman"/>
          <w:sz w:val="24"/>
          <w:szCs w:val="24"/>
        </w:rPr>
        <w:t xml:space="preserve">, os investimentos públicos no setor apresentaram crescimento expressivo, ainda que com oscilações </w:t>
      </w:r>
      <w:r w:rsidR="007755DC">
        <w:rPr>
          <w:rFonts w:ascii="Times New Roman" w:hAnsi="Times New Roman" w:cs="Times New Roman"/>
          <w:sz w:val="24"/>
          <w:szCs w:val="24"/>
        </w:rPr>
        <w:t>ao longo do tempo. No período</w:t>
      </w:r>
      <w:r w:rsidRPr="005D2776">
        <w:rPr>
          <w:rFonts w:ascii="Times New Roman" w:hAnsi="Times New Roman" w:cs="Times New Roman"/>
          <w:sz w:val="24"/>
          <w:szCs w:val="24"/>
        </w:rPr>
        <w:t xml:space="preserve"> </w:t>
      </w:r>
      <w:r w:rsidR="007755DC">
        <w:rPr>
          <w:rFonts w:ascii="Times New Roman" w:hAnsi="Times New Roman" w:cs="Times New Roman"/>
          <w:sz w:val="24"/>
          <w:szCs w:val="24"/>
        </w:rPr>
        <w:t>entre 2019 e</w:t>
      </w:r>
      <w:r w:rsidRPr="005D2776">
        <w:rPr>
          <w:rFonts w:ascii="Times New Roman" w:hAnsi="Times New Roman" w:cs="Times New Roman"/>
          <w:sz w:val="24"/>
          <w:szCs w:val="24"/>
        </w:rPr>
        <w:t xml:space="preserve"> 2022, especificamente, a CINEP aprovou 232 projetos industriais com concessão de incentivos fiscais, resultando na geração de 5.611 empregos diretos (Rodrigues, 2023, p. 24).</w:t>
      </w:r>
    </w:p>
    <w:p w14:paraId="3ECA1D10" w14:textId="77777777" w:rsidR="0091718F" w:rsidRDefault="005D2776" w:rsidP="00F4540C">
      <w:pPr>
        <w:spacing w:after="0" w:line="360" w:lineRule="auto"/>
        <w:ind w:firstLine="567"/>
        <w:contextualSpacing/>
        <w:jc w:val="both"/>
        <w:rPr>
          <w:rFonts w:ascii="Times New Roman" w:hAnsi="Times New Roman" w:cs="Times New Roman"/>
          <w:sz w:val="24"/>
          <w:szCs w:val="24"/>
        </w:rPr>
      </w:pPr>
      <w:r w:rsidRPr="005D2776">
        <w:rPr>
          <w:rFonts w:ascii="Times New Roman" w:hAnsi="Times New Roman" w:cs="Times New Roman"/>
          <w:sz w:val="24"/>
          <w:szCs w:val="24"/>
        </w:rPr>
        <w:t>Contudo, os resultados também indicam desafios persistentes. A produção industrial permanece concentrada em poucos municípios, sobretudo João Pessoa e Campina Grande, e há baixa diversificação setorial nas regiões interioranas (Mendes et al., 2012; Silva, 2014). A predominância da indústria de transformação e a participação limitada de outros setores produtivos indicam a necessidade de políticas complementares voltadas à interiorização do desenvolvimento e à complexificação produtiva.</w:t>
      </w:r>
    </w:p>
    <w:p w14:paraId="3121662D" w14:textId="0E33224D" w:rsidR="00BB7197" w:rsidRPr="000E599D" w:rsidRDefault="00294A2A" w:rsidP="00F4540C">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O</w:t>
      </w:r>
      <w:r w:rsidR="00BB7197" w:rsidRPr="000E599D">
        <w:rPr>
          <w:rFonts w:ascii="Times New Roman" w:hAnsi="Times New Roman" w:cs="Times New Roman"/>
          <w:sz w:val="24"/>
          <w:szCs w:val="24"/>
        </w:rPr>
        <w:t xml:space="preserve"> presente artigo tem como objetivo geral analisar a ação governamental e a dinâmica econômica da </w:t>
      </w:r>
      <w:r w:rsidR="005342DC">
        <w:rPr>
          <w:rFonts w:ascii="Times New Roman" w:hAnsi="Times New Roman" w:cs="Times New Roman"/>
          <w:sz w:val="24"/>
          <w:szCs w:val="24"/>
        </w:rPr>
        <w:t>Paraíba</w:t>
      </w:r>
      <w:r w:rsidR="00BB7197" w:rsidRPr="000E599D">
        <w:rPr>
          <w:rFonts w:ascii="Times New Roman" w:hAnsi="Times New Roman" w:cs="Times New Roman"/>
          <w:sz w:val="24"/>
          <w:szCs w:val="24"/>
        </w:rPr>
        <w:t>, no período de 2016 a 2022, a partir da evolução dos gastos públicos, da produção e do emprego, sob uma abordagem regional. objetivos específicos:</w:t>
      </w:r>
      <w:r w:rsidR="00BB7197">
        <w:rPr>
          <w:rFonts w:ascii="Times New Roman" w:hAnsi="Times New Roman" w:cs="Times New Roman"/>
          <w:sz w:val="24"/>
          <w:szCs w:val="24"/>
        </w:rPr>
        <w:t xml:space="preserve"> (1</w:t>
      </w:r>
      <w:r w:rsidR="00BB7197" w:rsidRPr="000E599D">
        <w:rPr>
          <w:rFonts w:ascii="Times New Roman" w:hAnsi="Times New Roman" w:cs="Times New Roman"/>
          <w:sz w:val="24"/>
          <w:szCs w:val="24"/>
        </w:rPr>
        <w:t xml:space="preserve">) descrever a evolução da produção industrial e do PIB paraibano e sua participação na região nordeste no período analisado; </w:t>
      </w:r>
      <w:r w:rsidR="00BB7197">
        <w:rPr>
          <w:rFonts w:ascii="Times New Roman" w:hAnsi="Times New Roman" w:cs="Times New Roman"/>
          <w:sz w:val="24"/>
          <w:szCs w:val="24"/>
        </w:rPr>
        <w:t>(2</w:t>
      </w:r>
      <w:r w:rsidR="00BB7197" w:rsidRPr="000E599D">
        <w:rPr>
          <w:rFonts w:ascii="Times New Roman" w:hAnsi="Times New Roman" w:cs="Times New Roman"/>
          <w:sz w:val="24"/>
          <w:szCs w:val="24"/>
        </w:rPr>
        <w:t>) averiguar comparativamente a evolução da execução das despesas nos setores econômicos por parte do governo da Paraíba entre os anos de 2016 e 2022; (3) apresentar a evolução da implantação de unidades industriais e do emprego no estado da Paraíba no contexto nordestino.</w:t>
      </w:r>
    </w:p>
    <w:p w14:paraId="66B08EA8" w14:textId="77777777" w:rsidR="007C6FAA" w:rsidRPr="00300618" w:rsidRDefault="007C6FAA" w:rsidP="00377E23">
      <w:pPr>
        <w:spacing w:after="0" w:line="360" w:lineRule="auto"/>
        <w:contextualSpacing/>
        <w:jc w:val="both"/>
        <w:rPr>
          <w:rFonts w:ascii="Times New Roman" w:hAnsi="Times New Roman" w:cs="Times New Roman"/>
          <w:sz w:val="24"/>
          <w:szCs w:val="24"/>
        </w:rPr>
      </w:pPr>
    </w:p>
    <w:p w14:paraId="7FD21045" w14:textId="77777777" w:rsidR="00243B58" w:rsidRDefault="001B1174" w:rsidP="00377E23">
      <w:pPr>
        <w:pStyle w:val="PargrafodaLista"/>
        <w:numPr>
          <w:ilvl w:val="0"/>
          <w:numId w:val="18"/>
        </w:numPr>
        <w:pBdr>
          <w:top w:val="nil"/>
          <w:left w:val="nil"/>
          <w:bottom w:val="nil"/>
          <w:right w:val="nil"/>
          <w:between w:val="nil"/>
        </w:pBdr>
        <w:tabs>
          <w:tab w:val="left" w:pos="426"/>
        </w:tabs>
        <w:spacing w:line="360" w:lineRule="auto"/>
        <w:ind w:left="284" w:hanging="284"/>
        <w:rPr>
          <w:rFonts w:eastAsia="Times New Roman" w:cs="Times New Roman"/>
          <w:b/>
          <w:szCs w:val="24"/>
        </w:rPr>
      </w:pPr>
      <w:r w:rsidRPr="00300618">
        <w:rPr>
          <w:rFonts w:eastAsia="Times New Roman" w:cs="Times New Roman"/>
          <w:b/>
          <w:szCs w:val="24"/>
        </w:rPr>
        <w:t>METODOLOGIA</w:t>
      </w:r>
    </w:p>
    <w:p w14:paraId="073A76C4" w14:textId="77777777" w:rsidR="009A0111" w:rsidRPr="00300618" w:rsidRDefault="009A0111" w:rsidP="009A0111">
      <w:pPr>
        <w:pStyle w:val="PargrafodaLista"/>
        <w:pBdr>
          <w:top w:val="nil"/>
          <w:left w:val="nil"/>
          <w:bottom w:val="nil"/>
          <w:right w:val="nil"/>
          <w:between w:val="nil"/>
        </w:pBdr>
        <w:tabs>
          <w:tab w:val="left" w:pos="426"/>
        </w:tabs>
        <w:spacing w:line="360" w:lineRule="auto"/>
        <w:ind w:left="284"/>
        <w:rPr>
          <w:rFonts w:eastAsia="Times New Roman" w:cs="Times New Roman"/>
          <w:b/>
          <w:szCs w:val="24"/>
        </w:rPr>
      </w:pPr>
    </w:p>
    <w:p w14:paraId="5C519674" w14:textId="50DCC5E6" w:rsidR="00092345" w:rsidRPr="00092345" w:rsidRDefault="001B1174" w:rsidP="00092345">
      <w:pPr>
        <w:pStyle w:val="PargrafodaLista"/>
        <w:numPr>
          <w:ilvl w:val="1"/>
          <w:numId w:val="18"/>
        </w:numPr>
        <w:pBdr>
          <w:top w:val="nil"/>
          <w:left w:val="nil"/>
          <w:bottom w:val="nil"/>
          <w:right w:val="nil"/>
          <w:between w:val="nil"/>
        </w:pBdr>
        <w:spacing w:line="360" w:lineRule="auto"/>
        <w:ind w:left="0" w:hanging="11"/>
        <w:rPr>
          <w:rFonts w:eastAsia="Times New Roman" w:cs="Times New Roman"/>
          <w:b/>
          <w:szCs w:val="24"/>
        </w:rPr>
      </w:pPr>
      <w:r w:rsidRPr="00300618">
        <w:rPr>
          <w:rFonts w:eastAsia="Times New Roman" w:cs="Times New Roman"/>
          <w:b/>
          <w:szCs w:val="24"/>
        </w:rPr>
        <w:t xml:space="preserve">Área de estudo </w:t>
      </w:r>
    </w:p>
    <w:p w14:paraId="470A4166" w14:textId="5DD4CEE9" w:rsidR="002F68A0" w:rsidRPr="00300618" w:rsidRDefault="002F68A0" w:rsidP="00377E23">
      <w:pPr>
        <w:spacing w:after="0" w:line="360" w:lineRule="auto"/>
        <w:ind w:firstLine="708"/>
        <w:contextualSpacing/>
        <w:jc w:val="both"/>
        <w:rPr>
          <w:rFonts w:ascii="Times New Roman" w:hAnsi="Times New Roman" w:cs="Times New Roman"/>
          <w:sz w:val="24"/>
          <w:szCs w:val="24"/>
          <w:shd w:val="clear" w:color="auto" w:fill="FFFFFF"/>
        </w:rPr>
      </w:pPr>
      <w:r w:rsidRPr="00300618">
        <w:rPr>
          <w:rFonts w:ascii="Times New Roman" w:hAnsi="Times New Roman" w:cs="Times New Roman"/>
          <w:sz w:val="24"/>
          <w:szCs w:val="24"/>
          <w:shd w:val="clear" w:color="auto" w:fill="FFFFFF"/>
        </w:rPr>
        <w:t xml:space="preserve">O estado da Paraíba está localizado na Região Nordeste do Brasil e tem como capital a cidade de João Pessoa. De acordo com o Censo de 2022, o estado possui uma população de </w:t>
      </w:r>
      <w:r w:rsidRPr="00300618">
        <w:rPr>
          <w:rFonts w:ascii="Times New Roman" w:hAnsi="Times New Roman" w:cs="Times New Roman"/>
          <w:sz w:val="24"/>
          <w:szCs w:val="24"/>
          <w:shd w:val="clear" w:color="auto" w:fill="FFFFFF"/>
        </w:rPr>
        <w:lastRenderedPageBreak/>
        <w:t>3.974.495 habitantes e uma densidade demográfica de 70,39 habitantes por quilômetro</w:t>
      </w:r>
      <w:r w:rsidR="009D219F">
        <w:rPr>
          <w:rFonts w:ascii="Times New Roman" w:hAnsi="Times New Roman" w:cs="Times New Roman"/>
          <w:sz w:val="24"/>
          <w:szCs w:val="24"/>
          <w:shd w:val="clear" w:color="auto" w:fill="FFFFFF"/>
        </w:rPr>
        <w:t xml:space="preserve"> quadrado </w:t>
      </w:r>
      <w:r w:rsidRPr="00300618">
        <w:rPr>
          <w:rFonts w:ascii="Times New Roman" w:hAnsi="Times New Roman" w:cs="Times New Roman"/>
          <w:sz w:val="24"/>
          <w:szCs w:val="24"/>
          <w:shd w:val="clear" w:color="auto" w:fill="FFFFFF"/>
        </w:rPr>
        <w:t>(IBGE, 2022).</w:t>
      </w:r>
    </w:p>
    <w:p w14:paraId="3A4D4D5F" w14:textId="77777777" w:rsidR="00243B58" w:rsidRPr="00300618" w:rsidRDefault="00243B58" w:rsidP="00377E23">
      <w:pPr>
        <w:spacing w:after="0" w:line="360" w:lineRule="auto"/>
        <w:contextualSpacing/>
        <w:jc w:val="both"/>
        <w:rPr>
          <w:rFonts w:ascii="Times New Roman" w:eastAsia="Times New Roman" w:hAnsi="Times New Roman" w:cs="Times New Roman"/>
          <w:b/>
          <w:sz w:val="24"/>
          <w:szCs w:val="24"/>
        </w:rPr>
      </w:pPr>
    </w:p>
    <w:p w14:paraId="5967098E" w14:textId="4FD0A3B3" w:rsidR="00243B58" w:rsidRPr="00300618" w:rsidRDefault="00243B58" w:rsidP="00377E23">
      <w:pPr>
        <w:pStyle w:val="PargrafodaLista"/>
        <w:numPr>
          <w:ilvl w:val="1"/>
          <w:numId w:val="18"/>
        </w:numPr>
        <w:spacing w:line="360" w:lineRule="auto"/>
        <w:ind w:left="0" w:firstLine="0"/>
        <w:rPr>
          <w:rFonts w:eastAsia="Times New Roman" w:cs="Times New Roman"/>
          <w:b/>
          <w:szCs w:val="24"/>
        </w:rPr>
      </w:pPr>
      <w:r w:rsidRPr="00300618">
        <w:rPr>
          <w:rFonts w:eastAsia="Times New Roman" w:cs="Times New Roman"/>
          <w:b/>
          <w:szCs w:val="24"/>
        </w:rPr>
        <w:t xml:space="preserve">Método de Pesquisa </w:t>
      </w:r>
    </w:p>
    <w:p w14:paraId="5DDE865E" w14:textId="7CCB10B9" w:rsidR="008D0DBD" w:rsidRPr="00300618" w:rsidRDefault="001B1174" w:rsidP="00377E23">
      <w:pPr>
        <w:spacing w:after="0" w:line="360" w:lineRule="auto"/>
        <w:ind w:firstLine="708"/>
        <w:contextualSpacing/>
        <w:jc w:val="both"/>
        <w:rPr>
          <w:rFonts w:ascii="Times New Roman" w:eastAsia="Times New Roman" w:hAnsi="Times New Roman" w:cs="Times New Roman"/>
          <w:kern w:val="0"/>
          <w:sz w:val="24"/>
          <w:szCs w:val="24"/>
          <w:lang w:eastAsia="pt-BR"/>
          <w14:ligatures w14:val="none"/>
        </w:rPr>
      </w:pPr>
      <w:r w:rsidRPr="00300618">
        <w:rPr>
          <w:rFonts w:ascii="Times New Roman" w:eastAsia="Times New Roman" w:hAnsi="Times New Roman" w:cs="Times New Roman"/>
          <w:sz w:val="24"/>
          <w:szCs w:val="24"/>
        </w:rPr>
        <w:t>A pesquisa realizada é de natureza</w:t>
      </w:r>
      <w:r w:rsidR="002F68A0" w:rsidRPr="00300618">
        <w:rPr>
          <w:rFonts w:ascii="Times New Roman" w:eastAsia="Times New Roman" w:hAnsi="Times New Roman" w:cs="Times New Roman"/>
          <w:sz w:val="24"/>
          <w:szCs w:val="24"/>
        </w:rPr>
        <w:t xml:space="preserve"> estatístico-</w:t>
      </w:r>
      <w:r w:rsidR="00D71B5A" w:rsidRPr="00300618">
        <w:rPr>
          <w:rFonts w:ascii="Times New Roman" w:eastAsia="Times New Roman" w:hAnsi="Times New Roman" w:cs="Times New Roman"/>
          <w:sz w:val="24"/>
          <w:szCs w:val="24"/>
        </w:rPr>
        <w:t>descritiva,</w:t>
      </w:r>
      <w:r w:rsidRPr="00300618">
        <w:rPr>
          <w:rFonts w:ascii="Times New Roman" w:eastAsia="Times New Roman" w:hAnsi="Times New Roman" w:cs="Times New Roman"/>
          <w:sz w:val="24"/>
          <w:szCs w:val="24"/>
        </w:rPr>
        <w:t xml:space="preserve"> analítica</w:t>
      </w:r>
      <w:r w:rsidR="00D71B5A" w:rsidRPr="00300618">
        <w:rPr>
          <w:rFonts w:ascii="Times New Roman" w:eastAsia="Times New Roman" w:hAnsi="Times New Roman" w:cs="Times New Roman"/>
          <w:sz w:val="24"/>
          <w:szCs w:val="24"/>
        </w:rPr>
        <w:t xml:space="preserve"> e comparativa</w:t>
      </w:r>
      <w:r w:rsidRPr="00300618">
        <w:rPr>
          <w:rFonts w:ascii="Times New Roman" w:eastAsia="Times New Roman" w:hAnsi="Times New Roman" w:cs="Times New Roman"/>
          <w:sz w:val="24"/>
          <w:szCs w:val="24"/>
        </w:rPr>
        <w:t xml:space="preserve">. O campo de observação </w:t>
      </w:r>
      <w:r w:rsidR="00D71B5A" w:rsidRPr="00300618">
        <w:rPr>
          <w:rFonts w:ascii="Times New Roman" w:eastAsia="Times New Roman" w:hAnsi="Times New Roman" w:cs="Times New Roman"/>
          <w:sz w:val="24"/>
          <w:szCs w:val="24"/>
        </w:rPr>
        <w:t xml:space="preserve">principal </w:t>
      </w:r>
      <w:r w:rsidRPr="00300618">
        <w:rPr>
          <w:rFonts w:ascii="Times New Roman" w:eastAsia="Times New Roman" w:hAnsi="Times New Roman" w:cs="Times New Roman"/>
          <w:sz w:val="24"/>
          <w:szCs w:val="24"/>
        </w:rPr>
        <w:t>é a atividade industrial</w:t>
      </w:r>
      <w:r w:rsidR="00D71B5A" w:rsidRPr="00300618">
        <w:rPr>
          <w:rFonts w:ascii="Times New Roman" w:eastAsia="Times New Roman" w:hAnsi="Times New Roman" w:cs="Times New Roman"/>
          <w:sz w:val="24"/>
          <w:szCs w:val="24"/>
        </w:rPr>
        <w:t xml:space="preserve">, além de outras atividades </w:t>
      </w:r>
      <w:r w:rsidR="002C5701" w:rsidRPr="00300618">
        <w:rPr>
          <w:rFonts w:ascii="Times New Roman" w:eastAsia="Times New Roman" w:hAnsi="Times New Roman" w:cs="Times New Roman"/>
          <w:sz w:val="24"/>
          <w:szCs w:val="24"/>
        </w:rPr>
        <w:t>econômicas</w:t>
      </w:r>
      <w:r w:rsidRPr="00300618">
        <w:rPr>
          <w:rFonts w:ascii="Times New Roman" w:eastAsia="Times New Roman" w:hAnsi="Times New Roman" w:cs="Times New Roman"/>
          <w:sz w:val="24"/>
          <w:szCs w:val="24"/>
        </w:rPr>
        <w:t xml:space="preserve"> no estado da Paraíba, durante o período 2016-2022. </w:t>
      </w:r>
      <w:r w:rsidR="00A61406" w:rsidRPr="00300618">
        <w:rPr>
          <w:rFonts w:ascii="Times New Roman" w:eastAsia="Times New Roman" w:hAnsi="Times New Roman" w:cs="Times New Roman"/>
          <w:sz w:val="24"/>
          <w:szCs w:val="24"/>
        </w:rPr>
        <w:t>Por meio do método</w:t>
      </w:r>
      <w:r w:rsidR="00D71B5A" w:rsidRPr="00300618">
        <w:rPr>
          <w:rFonts w:ascii="Times New Roman" w:eastAsia="Times New Roman" w:hAnsi="Times New Roman" w:cs="Times New Roman"/>
          <w:sz w:val="24"/>
          <w:szCs w:val="24"/>
        </w:rPr>
        <w:t xml:space="preserve"> estatístico-descritiv</w:t>
      </w:r>
      <w:r w:rsidR="00A61406" w:rsidRPr="00300618">
        <w:rPr>
          <w:rFonts w:ascii="Times New Roman" w:eastAsia="Times New Roman" w:hAnsi="Times New Roman" w:cs="Times New Roman"/>
          <w:sz w:val="24"/>
          <w:szCs w:val="24"/>
        </w:rPr>
        <w:t>o</w:t>
      </w:r>
      <w:r w:rsidR="002C5701" w:rsidRPr="00300618">
        <w:rPr>
          <w:rFonts w:ascii="Times New Roman" w:eastAsia="Times New Roman" w:hAnsi="Times New Roman" w:cs="Times New Roman"/>
          <w:sz w:val="24"/>
          <w:szCs w:val="24"/>
        </w:rPr>
        <w:t>,</w:t>
      </w:r>
      <w:r w:rsidR="00D71B5A" w:rsidRPr="00300618">
        <w:rPr>
          <w:rFonts w:ascii="Times New Roman" w:eastAsia="Times New Roman" w:hAnsi="Times New Roman" w:cs="Times New Roman"/>
          <w:sz w:val="24"/>
          <w:szCs w:val="24"/>
        </w:rPr>
        <w:t xml:space="preserve"> </w:t>
      </w:r>
      <w:r w:rsidR="004F7A1A" w:rsidRPr="00300618">
        <w:rPr>
          <w:rFonts w:ascii="Times New Roman" w:eastAsia="Times New Roman" w:hAnsi="Times New Roman" w:cs="Times New Roman"/>
          <w:kern w:val="0"/>
          <w:sz w:val="24"/>
          <w:szCs w:val="24"/>
          <w:lang w:eastAsia="pt-BR"/>
          <w14:ligatures w14:val="none"/>
        </w:rPr>
        <w:t>foi</w:t>
      </w:r>
      <w:r w:rsidR="00D71B5A" w:rsidRPr="00300618">
        <w:rPr>
          <w:rFonts w:ascii="Times New Roman" w:eastAsia="Times New Roman" w:hAnsi="Times New Roman" w:cs="Times New Roman"/>
          <w:kern w:val="0"/>
          <w:sz w:val="24"/>
          <w:szCs w:val="24"/>
          <w:lang w:eastAsia="pt-BR"/>
          <w14:ligatures w14:val="none"/>
        </w:rPr>
        <w:t xml:space="preserve"> </w:t>
      </w:r>
      <w:r w:rsidR="004F7A1A" w:rsidRPr="00300618">
        <w:rPr>
          <w:rFonts w:ascii="Times New Roman" w:eastAsia="Times New Roman" w:hAnsi="Times New Roman" w:cs="Times New Roman"/>
          <w:kern w:val="0"/>
          <w:sz w:val="24"/>
          <w:szCs w:val="24"/>
          <w:lang w:eastAsia="pt-BR"/>
          <w14:ligatures w14:val="none"/>
        </w:rPr>
        <w:t>calculada</w:t>
      </w:r>
      <w:r w:rsidR="00D71B5A" w:rsidRPr="00300618">
        <w:rPr>
          <w:rFonts w:ascii="Times New Roman" w:eastAsia="Times New Roman" w:hAnsi="Times New Roman" w:cs="Times New Roman"/>
          <w:kern w:val="0"/>
          <w:sz w:val="24"/>
          <w:szCs w:val="24"/>
          <w:lang w:eastAsia="pt-BR"/>
          <w14:ligatures w14:val="none"/>
        </w:rPr>
        <w:t xml:space="preserve"> </w:t>
      </w:r>
      <w:r w:rsidR="00A61406" w:rsidRPr="00300618">
        <w:rPr>
          <w:rFonts w:ascii="Times New Roman" w:eastAsia="Times New Roman" w:hAnsi="Times New Roman" w:cs="Times New Roman"/>
          <w:kern w:val="0"/>
          <w:sz w:val="24"/>
          <w:szCs w:val="24"/>
          <w:lang w:eastAsia="pt-BR"/>
          <w14:ligatures w14:val="none"/>
        </w:rPr>
        <w:t xml:space="preserve">a </w:t>
      </w:r>
      <w:r w:rsidR="00E50EC8" w:rsidRPr="00300618">
        <w:rPr>
          <w:rFonts w:ascii="Times New Roman" w:eastAsia="Times New Roman" w:hAnsi="Times New Roman" w:cs="Times New Roman"/>
          <w:sz w:val="24"/>
          <w:szCs w:val="24"/>
        </w:rPr>
        <w:t xml:space="preserve">evolução percentual da execução das despesas nos setores econômicos por parte do governo da Paraíba entre os anos de 2016 a 2022. </w:t>
      </w:r>
      <w:r w:rsidR="008D0DBD" w:rsidRPr="00300618">
        <w:rPr>
          <w:rFonts w:ascii="Times New Roman" w:eastAsia="Times New Roman" w:hAnsi="Times New Roman" w:cs="Times New Roman"/>
          <w:sz w:val="24"/>
          <w:szCs w:val="24"/>
        </w:rPr>
        <w:t>Posteriormente</w:t>
      </w:r>
      <w:r w:rsidR="008D0DBD" w:rsidRPr="00300618">
        <w:rPr>
          <w:rFonts w:ascii="Times New Roman" w:eastAsia="Times New Roman" w:hAnsi="Times New Roman" w:cs="Times New Roman"/>
          <w:bCs/>
          <w:kern w:val="0"/>
          <w:sz w:val="24"/>
          <w:szCs w:val="24"/>
          <w:lang w:eastAsia="pt-BR"/>
          <w14:ligatures w14:val="none"/>
        </w:rPr>
        <w:t xml:space="preserve"> foi realizada análise comparativa entre a Paraíba e o Nordeste/Brasil</w:t>
      </w:r>
      <w:r w:rsidR="008D0DBD" w:rsidRPr="00300618">
        <w:rPr>
          <w:rFonts w:ascii="Times New Roman" w:eastAsia="Times New Roman" w:hAnsi="Times New Roman" w:cs="Times New Roman"/>
          <w:kern w:val="0"/>
          <w:sz w:val="24"/>
          <w:szCs w:val="24"/>
          <w:lang w:eastAsia="pt-BR"/>
          <w14:ligatures w14:val="none"/>
        </w:rPr>
        <w:t xml:space="preserve"> comparando dados da Paraíba com os agregados regionais (Nordeste) e nacionais (Brasil), com o intuito de contextualizar o desempenho estadual. Essa comparação buscou destacar possíveis assimetrias, convergências ou especificidades da dinâmica industrial paraibana frente a contextos mais amplos.</w:t>
      </w:r>
    </w:p>
    <w:p w14:paraId="65F59350" w14:textId="77777777" w:rsidR="008D0DBD" w:rsidRDefault="008D0DBD" w:rsidP="00377E23">
      <w:pPr>
        <w:spacing w:after="0" w:line="360" w:lineRule="auto"/>
        <w:ind w:firstLine="708"/>
        <w:contextualSpacing/>
        <w:jc w:val="both"/>
        <w:rPr>
          <w:rFonts w:ascii="Times New Roman" w:eastAsia="Times New Roman" w:hAnsi="Times New Roman" w:cs="Times New Roman"/>
          <w:kern w:val="0"/>
          <w:sz w:val="24"/>
          <w:szCs w:val="24"/>
          <w:lang w:eastAsia="pt-BR"/>
          <w14:ligatures w14:val="none"/>
        </w:rPr>
      </w:pPr>
      <w:r w:rsidRPr="008D0DBD">
        <w:rPr>
          <w:rFonts w:ascii="Times New Roman" w:eastAsia="Times New Roman" w:hAnsi="Times New Roman" w:cs="Times New Roman"/>
          <w:bCs/>
          <w:kern w:val="0"/>
          <w:sz w:val="24"/>
          <w:szCs w:val="24"/>
          <w:lang w:eastAsia="pt-BR"/>
          <w14:ligatures w14:val="none"/>
        </w:rPr>
        <w:t>Complementarmente</w:t>
      </w:r>
      <w:r w:rsidRPr="008D0DBD">
        <w:rPr>
          <w:rFonts w:ascii="Times New Roman" w:eastAsia="Times New Roman" w:hAnsi="Times New Roman" w:cs="Times New Roman"/>
          <w:sz w:val="24"/>
          <w:szCs w:val="24"/>
        </w:rPr>
        <w:t xml:space="preserve"> </w:t>
      </w:r>
      <w:r w:rsidR="00E50EC8" w:rsidRPr="008D0DBD">
        <w:rPr>
          <w:rFonts w:ascii="Times New Roman" w:eastAsia="Times New Roman" w:hAnsi="Times New Roman" w:cs="Times New Roman"/>
          <w:sz w:val="24"/>
          <w:szCs w:val="24"/>
        </w:rPr>
        <w:t xml:space="preserve">foi analisada a </w:t>
      </w:r>
      <w:r w:rsidRPr="008D0DBD">
        <w:rPr>
          <w:rFonts w:ascii="Times New Roman" w:eastAsia="Times New Roman" w:hAnsi="Times New Roman" w:cs="Times New Roman"/>
          <w:sz w:val="24"/>
          <w:szCs w:val="24"/>
        </w:rPr>
        <w:t xml:space="preserve">evolução do Valor Adicionado Bruto da Produção </w:t>
      </w:r>
      <w:r w:rsidR="00E50EC8" w:rsidRPr="008D0DBD">
        <w:rPr>
          <w:rFonts w:ascii="Times New Roman" w:eastAsia="Times New Roman" w:hAnsi="Times New Roman" w:cs="Times New Roman"/>
          <w:sz w:val="24"/>
          <w:szCs w:val="24"/>
        </w:rPr>
        <w:t xml:space="preserve">e do PIB paraibano no período </w:t>
      </w:r>
      <w:r w:rsidR="002C5701" w:rsidRPr="008D0DBD">
        <w:rPr>
          <w:rFonts w:ascii="Times New Roman" w:eastAsia="Times New Roman" w:hAnsi="Times New Roman" w:cs="Times New Roman"/>
          <w:sz w:val="24"/>
          <w:szCs w:val="24"/>
        </w:rPr>
        <w:t>2016 a 2022</w:t>
      </w:r>
      <w:r w:rsidRPr="008D0DBD">
        <w:rPr>
          <w:rFonts w:ascii="Times New Roman" w:eastAsia="Times New Roman" w:hAnsi="Times New Roman" w:cs="Times New Roman"/>
          <w:sz w:val="24"/>
          <w:szCs w:val="24"/>
        </w:rPr>
        <w:t xml:space="preserve"> e</w:t>
      </w:r>
      <w:r w:rsidR="002C5701" w:rsidRPr="008D0DBD">
        <w:rPr>
          <w:rFonts w:ascii="Times New Roman" w:eastAsia="Times New Roman" w:hAnsi="Times New Roman" w:cs="Times New Roman"/>
          <w:sz w:val="24"/>
          <w:szCs w:val="24"/>
        </w:rPr>
        <w:t xml:space="preserve"> </w:t>
      </w:r>
      <w:r w:rsidR="00D71B5A" w:rsidRPr="008D0DBD">
        <w:rPr>
          <w:rFonts w:ascii="Times New Roman" w:eastAsia="Times New Roman" w:hAnsi="Times New Roman" w:cs="Times New Roman"/>
          <w:kern w:val="0"/>
          <w:sz w:val="24"/>
          <w:szCs w:val="24"/>
          <w:lang w:eastAsia="pt-BR"/>
          <w14:ligatures w14:val="none"/>
        </w:rPr>
        <w:t>a participação relativa de cada segmento da indústria de transformação em relação ao total do setor industrial formal no estado, com base em variáveis c</w:t>
      </w:r>
      <w:r w:rsidRPr="008D0DBD">
        <w:rPr>
          <w:rFonts w:ascii="Times New Roman" w:eastAsia="Times New Roman" w:hAnsi="Times New Roman" w:cs="Times New Roman"/>
          <w:kern w:val="0"/>
          <w:sz w:val="24"/>
          <w:szCs w:val="24"/>
          <w:lang w:eastAsia="pt-BR"/>
          <w14:ligatures w14:val="none"/>
        </w:rPr>
        <w:t xml:space="preserve">omo número de estabelecimentos e </w:t>
      </w:r>
      <w:r w:rsidR="00D71B5A" w:rsidRPr="008D0DBD">
        <w:rPr>
          <w:rFonts w:ascii="Times New Roman" w:eastAsia="Times New Roman" w:hAnsi="Times New Roman" w:cs="Times New Roman"/>
          <w:kern w:val="0"/>
          <w:sz w:val="24"/>
          <w:szCs w:val="24"/>
          <w:lang w:eastAsia="pt-BR"/>
          <w14:ligatures w14:val="none"/>
        </w:rPr>
        <w:t>pessoal ocupado</w:t>
      </w:r>
      <w:r>
        <w:rPr>
          <w:rFonts w:ascii="Times New Roman" w:eastAsia="Times New Roman" w:hAnsi="Times New Roman" w:cs="Times New Roman"/>
          <w:kern w:val="0"/>
          <w:sz w:val="24"/>
          <w:szCs w:val="24"/>
          <w:lang w:eastAsia="pt-BR"/>
          <w14:ligatures w14:val="none"/>
        </w:rPr>
        <w:t>.</w:t>
      </w:r>
    </w:p>
    <w:p w14:paraId="1CBFEF2D" w14:textId="5C234FC0" w:rsidR="00A94001" w:rsidRPr="00A94001" w:rsidRDefault="00A94001" w:rsidP="00377E23">
      <w:pPr>
        <w:spacing w:after="0" w:line="360" w:lineRule="auto"/>
        <w:ind w:firstLine="708"/>
        <w:contextualSpacing/>
        <w:jc w:val="both"/>
        <w:rPr>
          <w:rFonts w:ascii="Times New Roman" w:hAnsi="Times New Roman" w:cs="Times New Roman"/>
          <w:sz w:val="24"/>
          <w:szCs w:val="24"/>
        </w:rPr>
      </w:pPr>
      <w:r w:rsidRPr="00A94001">
        <w:rPr>
          <w:rFonts w:ascii="Times New Roman" w:hAnsi="Times New Roman" w:cs="Times New Roman"/>
          <w:sz w:val="24"/>
          <w:szCs w:val="24"/>
        </w:rPr>
        <w:t>Por se tratar de valores monetários foi necessário deflacionar os valores</w:t>
      </w:r>
      <w:r w:rsidR="007D2735">
        <w:rPr>
          <w:rFonts w:ascii="Times New Roman" w:hAnsi="Times New Roman" w:cs="Times New Roman"/>
          <w:sz w:val="24"/>
          <w:szCs w:val="24"/>
        </w:rPr>
        <w:t xml:space="preserve"> absolutos</w:t>
      </w:r>
      <w:r w:rsidR="002D03C9">
        <w:rPr>
          <w:rFonts w:ascii="Times New Roman" w:hAnsi="Times New Roman" w:cs="Times New Roman"/>
          <w:sz w:val="24"/>
          <w:szCs w:val="24"/>
        </w:rPr>
        <w:t xml:space="preserve"> a partir d</w:t>
      </w:r>
      <w:r w:rsidRPr="00A94001">
        <w:rPr>
          <w:rFonts w:ascii="Times New Roman" w:hAnsi="Times New Roman" w:cs="Times New Roman"/>
          <w:sz w:val="24"/>
          <w:szCs w:val="24"/>
        </w:rPr>
        <w:t xml:space="preserve">o </w:t>
      </w:r>
      <w:r w:rsidRPr="00A94001">
        <w:rPr>
          <w:rStyle w:val="nfase"/>
          <w:rFonts w:ascii="Times New Roman" w:hAnsi="Times New Roman" w:cs="Times New Roman"/>
          <w:bCs/>
          <w:i w:val="0"/>
          <w:iCs w:val="0"/>
          <w:sz w:val="24"/>
          <w:szCs w:val="24"/>
          <w:shd w:val="clear" w:color="auto" w:fill="FFFFFF"/>
        </w:rPr>
        <w:t>Índice Nacional de Preços ao Consumidor Amplo</w:t>
      </w:r>
      <w:r w:rsidRPr="00A94001">
        <w:rPr>
          <w:rFonts w:ascii="Times New Roman" w:hAnsi="Times New Roman" w:cs="Times New Roman"/>
          <w:sz w:val="24"/>
          <w:szCs w:val="24"/>
        </w:rPr>
        <w:t xml:space="preserve"> (IPCA). Nesse contexto, após a correção dos efeitos inflacionários, é possível analisar a variação das despesas, Produto Interno Bruto (PIB) e PIB Per Capita que engloba</w:t>
      </w:r>
      <w:r w:rsidR="001449BB">
        <w:rPr>
          <w:rFonts w:ascii="Times New Roman" w:hAnsi="Times New Roman" w:cs="Times New Roman"/>
          <w:sz w:val="24"/>
          <w:szCs w:val="24"/>
        </w:rPr>
        <w:t>m</w:t>
      </w:r>
      <w:r w:rsidRPr="00A94001">
        <w:rPr>
          <w:rFonts w:ascii="Times New Roman" w:hAnsi="Times New Roman" w:cs="Times New Roman"/>
          <w:sz w:val="24"/>
          <w:szCs w:val="24"/>
        </w:rPr>
        <w:t xml:space="preserve"> mudanças oriundas do crescimento econômico e alterações.</w:t>
      </w:r>
    </w:p>
    <w:p w14:paraId="01AF7CDF" w14:textId="0A474CC5" w:rsidR="008D0DBD" w:rsidRPr="006C7C3F" w:rsidRDefault="008D0DBD" w:rsidP="00377E23">
      <w:pPr>
        <w:spacing w:after="0" w:line="360" w:lineRule="auto"/>
        <w:ind w:firstLine="708"/>
        <w:contextualSpacing/>
        <w:jc w:val="both"/>
        <w:rPr>
          <w:rFonts w:ascii="Times New Roman" w:eastAsia="Times New Roman" w:hAnsi="Times New Roman" w:cs="Times New Roman"/>
          <w:kern w:val="0"/>
          <w:sz w:val="24"/>
          <w:szCs w:val="24"/>
          <w:lang w:eastAsia="pt-BR"/>
          <w14:ligatures w14:val="none"/>
        </w:rPr>
      </w:pPr>
      <w:r w:rsidRPr="006C7C3F">
        <w:rPr>
          <w:rFonts w:ascii="Times New Roman" w:eastAsia="Times New Roman" w:hAnsi="Times New Roman" w:cs="Times New Roman"/>
          <w:kern w:val="0"/>
          <w:sz w:val="24"/>
          <w:szCs w:val="24"/>
          <w:lang w:eastAsia="pt-BR"/>
          <w14:ligatures w14:val="none"/>
        </w:rPr>
        <w:t>A evolução de variáveis-chave, como o número de esta</w:t>
      </w:r>
      <w:r>
        <w:rPr>
          <w:rFonts w:ascii="Times New Roman" w:eastAsia="Times New Roman" w:hAnsi="Times New Roman" w:cs="Times New Roman"/>
          <w:kern w:val="0"/>
          <w:sz w:val="24"/>
          <w:szCs w:val="24"/>
          <w:lang w:eastAsia="pt-BR"/>
          <w14:ligatures w14:val="none"/>
        </w:rPr>
        <w:t>belecimentos e</w:t>
      </w:r>
      <w:r w:rsidRPr="006C7C3F">
        <w:rPr>
          <w:rFonts w:ascii="Times New Roman" w:eastAsia="Times New Roman" w:hAnsi="Times New Roman" w:cs="Times New Roman"/>
          <w:kern w:val="0"/>
          <w:sz w:val="24"/>
          <w:szCs w:val="24"/>
          <w:lang w:eastAsia="pt-BR"/>
          <w14:ligatures w14:val="none"/>
        </w:rPr>
        <w:t xml:space="preserve"> o nível de emprego, foi analisada por meio do cálculo de variações percentuais ano a ano, bem como da variação acumulada no período de estudo. Essa análise possibilitou identificar tendências de crescimento ou retração, bem como momentos de inflexão associados a mudanças econômicas ou políticas públicas.</w:t>
      </w:r>
    </w:p>
    <w:p w14:paraId="003FD26D" w14:textId="77777777" w:rsidR="002E2989" w:rsidRPr="001B7563" w:rsidRDefault="002E2989" w:rsidP="00377E23">
      <w:pPr>
        <w:spacing w:after="0" w:line="360" w:lineRule="auto"/>
        <w:ind w:firstLine="708"/>
        <w:contextualSpacing/>
        <w:jc w:val="both"/>
        <w:rPr>
          <w:rFonts w:ascii="Times New Roman" w:eastAsia="Times New Roman" w:hAnsi="Times New Roman" w:cs="Times New Roman"/>
          <w:sz w:val="24"/>
          <w:szCs w:val="24"/>
        </w:rPr>
      </w:pPr>
    </w:p>
    <w:p w14:paraId="3AFCD599" w14:textId="77777777" w:rsidR="002E2989" w:rsidRPr="001B7563" w:rsidRDefault="002E2989" w:rsidP="00377E23">
      <w:pPr>
        <w:pStyle w:val="PargrafodaLista"/>
        <w:numPr>
          <w:ilvl w:val="1"/>
          <w:numId w:val="18"/>
        </w:numPr>
        <w:spacing w:line="360" w:lineRule="auto"/>
        <w:ind w:left="0" w:firstLine="0"/>
        <w:rPr>
          <w:rFonts w:eastAsia="Times New Roman" w:cs="Times New Roman"/>
          <w:b/>
          <w:szCs w:val="24"/>
        </w:rPr>
      </w:pPr>
      <w:r w:rsidRPr="001B7563">
        <w:rPr>
          <w:rFonts w:eastAsia="Times New Roman" w:cs="Times New Roman"/>
          <w:b/>
          <w:szCs w:val="24"/>
        </w:rPr>
        <w:t xml:space="preserve">Coleta de Dados </w:t>
      </w:r>
    </w:p>
    <w:p w14:paraId="50E1ED1B" w14:textId="0997F823" w:rsidR="008E0FDB" w:rsidRPr="0002784E" w:rsidRDefault="001B1174" w:rsidP="0002784E">
      <w:pPr>
        <w:spacing w:after="0" w:line="360" w:lineRule="auto"/>
        <w:ind w:firstLine="426"/>
        <w:contextualSpacing/>
        <w:jc w:val="both"/>
        <w:rPr>
          <w:rFonts w:ascii="Times New Roman" w:eastAsia="Times New Roman" w:hAnsi="Times New Roman" w:cs="Times New Roman"/>
          <w:sz w:val="24"/>
          <w:szCs w:val="24"/>
        </w:rPr>
      </w:pPr>
      <w:r w:rsidRPr="001B7563">
        <w:rPr>
          <w:rFonts w:ascii="Times New Roman" w:eastAsia="Times New Roman" w:hAnsi="Times New Roman" w:cs="Times New Roman"/>
          <w:sz w:val="24"/>
          <w:szCs w:val="24"/>
        </w:rPr>
        <w:t>As fontes de informação utilizadas são secundárias. Foram utilizados material bibliográfico (livros, artigos, relatórios de pesquisa, etc.) e levantamento de dados estatísticos. Os dados utilizados fo</w:t>
      </w:r>
      <w:r w:rsidR="002F68A0" w:rsidRPr="001B7563">
        <w:rPr>
          <w:rFonts w:ascii="Times New Roman" w:eastAsia="Times New Roman" w:hAnsi="Times New Roman" w:cs="Times New Roman"/>
          <w:sz w:val="24"/>
          <w:szCs w:val="24"/>
        </w:rPr>
        <w:t>ram obtidos junto ao Portal da T</w:t>
      </w:r>
      <w:r w:rsidRPr="001B7563">
        <w:rPr>
          <w:rFonts w:ascii="Times New Roman" w:eastAsia="Times New Roman" w:hAnsi="Times New Roman" w:cs="Times New Roman"/>
          <w:sz w:val="24"/>
          <w:szCs w:val="24"/>
        </w:rPr>
        <w:t>ransparê</w:t>
      </w:r>
      <w:r w:rsidR="002F68A0" w:rsidRPr="001B7563">
        <w:rPr>
          <w:rFonts w:ascii="Times New Roman" w:eastAsia="Times New Roman" w:hAnsi="Times New Roman" w:cs="Times New Roman"/>
          <w:sz w:val="24"/>
          <w:szCs w:val="24"/>
        </w:rPr>
        <w:t xml:space="preserve">ncia do estado da Paraíba, </w:t>
      </w:r>
      <w:r w:rsidR="002F68A0" w:rsidRPr="001B7563">
        <w:rPr>
          <w:rFonts w:ascii="Times New Roman" w:eastAsia="Times New Roman" w:hAnsi="Times New Roman" w:cs="Times New Roman"/>
          <w:sz w:val="24"/>
          <w:szCs w:val="24"/>
        </w:rPr>
        <w:lastRenderedPageBreak/>
        <w:t>IBGE, do sistema RAIS/CADGED do</w:t>
      </w:r>
      <w:r w:rsidRPr="001B7563">
        <w:rPr>
          <w:rFonts w:ascii="Times New Roman" w:eastAsia="Times New Roman" w:hAnsi="Times New Roman" w:cs="Times New Roman"/>
          <w:sz w:val="24"/>
          <w:szCs w:val="24"/>
        </w:rPr>
        <w:t xml:space="preserve"> Ministério do Trabalho e Emprego</w:t>
      </w:r>
      <w:r w:rsidR="002F68A0" w:rsidRPr="001B7563">
        <w:rPr>
          <w:rFonts w:ascii="Times New Roman" w:eastAsia="Times New Roman" w:hAnsi="Times New Roman" w:cs="Times New Roman"/>
          <w:sz w:val="24"/>
          <w:szCs w:val="24"/>
        </w:rPr>
        <w:t xml:space="preserve"> e da </w:t>
      </w:r>
      <w:r w:rsidR="002F68A0" w:rsidRPr="001B7563">
        <w:rPr>
          <w:rStyle w:val="fontstyle01"/>
          <w:color w:val="auto"/>
        </w:rPr>
        <w:t>Companhia de Desenvolvimento da Paraíba (CINEP)</w:t>
      </w:r>
      <w:r w:rsidR="008E0FDB">
        <w:rPr>
          <w:rFonts w:ascii="Times New Roman" w:eastAsia="Times New Roman" w:hAnsi="Times New Roman" w:cs="Times New Roman"/>
          <w:sz w:val="24"/>
          <w:szCs w:val="24"/>
        </w:rPr>
        <w:t xml:space="preserve">. </w:t>
      </w:r>
      <w:r w:rsidRPr="002F68A0">
        <w:rPr>
          <w:rFonts w:ascii="Times New Roman" w:eastAsia="Times New Roman" w:hAnsi="Times New Roman" w:cs="Times New Roman"/>
          <w:sz w:val="24"/>
          <w:szCs w:val="24"/>
        </w:rPr>
        <w:t>Os dados estatísticos coletados junto ao IBGE obedecem às divisões do CNAE 2.0 (até 2022). O tratamento dos dados se deu com o auxílio dos softwares Excel</w:t>
      </w:r>
      <w:r w:rsidR="00B0325C">
        <w:rPr>
          <w:rFonts w:ascii="Times New Roman" w:eastAsia="Times New Roman" w:hAnsi="Times New Roman" w:cs="Times New Roman"/>
          <w:sz w:val="24"/>
          <w:szCs w:val="24"/>
        </w:rPr>
        <w:t xml:space="preserve"> com o cruzamento de dados.</w:t>
      </w:r>
      <w:r w:rsidR="0002784E">
        <w:rPr>
          <w:rFonts w:ascii="Times New Roman" w:eastAsia="Times New Roman" w:hAnsi="Times New Roman" w:cs="Times New Roman"/>
          <w:sz w:val="24"/>
          <w:szCs w:val="24"/>
        </w:rPr>
        <w:t xml:space="preserve"> </w:t>
      </w:r>
      <w:r w:rsidR="008E0FDB" w:rsidRPr="005D2776">
        <w:rPr>
          <w:rFonts w:ascii="Times New Roman" w:hAnsi="Times New Roman" w:cs="Times New Roman"/>
          <w:sz w:val="24"/>
          <w:szCs w:val="24"/>
        </w:rPr>
        <w:t xml:space="preserve">A escolha </w:t>
      </w:r>
      <w:r w:rsidR="008E0FDB">
        <w:rPr>
          <w:rFonts w:ascii="Times New Roman" w:hAnsi="Times New Roman" w:cs="Times New Roman"/>
          <w:sz w:val="24"/>
          <w:szCs w:val="24"/>
        </w:rPr>
        <w:t>do recorte temporal se justifica</w:t>
      </w:r>
      <w:r w:rsidR="008E0FDB" w:rsidRPr="005D2776">
        <w:rPr>
          <w:rFonts w:ascii="Times New Roman" w:hAnsi="Times New Roman" w:cs="Times New Roman"/>
          <w:sz w:val="24"/>
          <w:szCs w:val="24"/>
        </w:rPr>
        <w:t xml:space="preserve"> pela maior disponibilidade de dados oficiais, bem como pela identificação de uma fase de reconfiguração institucional das políticas industriais no estado. O intervalo compreendido entre 2016 e 2022 reúne tanto os efeitos de crises fiscais e sanitárias quanto os esforços de retomada econômica e planejamento regional.</w:t>
      </w:r>
    </w:p>
    <w:p w14:paraId="35D8721C" w14:textId="5292A36B" w:rsidR="00442A39" w:rsidRPr="00EB4721" w:rsidRDefault="00A01AAF" w:rsidP="008E0FDB">
      <w:pPr>
        <w:spacing w:after="0" w:line="360" w:lineRule="auto"/>
        <w:ind w:firstLine="708"/>
        <w:contextualSpacing/>
        <w:jc w:val="both"/>
        <w:rPr>
          <w:rFonts w:ascii="Times New Roman" w:hAnsi="Times New Roman" w:cs="Times New Roman"/>
          <w:sz w:val="24"/>
          <w:szCs w:val="24"/>
        </w:rPr>
      </w:pPr>
      <w:r w:rsidRPr="00EB4721">
        <w:rPr>
          <w:rFonts w:ascii="Times New Roman" w:hAnsi="Times New Roman" w:cs="Times New Roman"/>
          <w:sz w:val="24"/>
          <w:szCs w:val="24"/>
        </w:rPr>
        <w:t xml:space="preserve">É importante destacar </w:t>
      </w:r>
      <w:r w:rsidR="00A61406">
        <w:rPr>
          <w:rFonts w:ascii="Times New Roman" w:hAnsi="Times New Roman" w:cs="Times New Roman"/>
          <w:sz w:val="24"/>
          <w:szCs w:val="24"/>
        </w:rPr>
        <w:t>algumas limitações</w:t>
      </w:r>
      <w:r w:rsidRPr="00EB4721">
        <w:rPr>
          <w:rFonts w:ascii="Times New Roman" w:hAnsi="Times New Roman" w:cs="Times New Roman"/>
          <w:sz w:val="24"/>
          <w:szCs w:val="24"/>
        </w:rPr>
        <w:t xml:space="preserve"> que permeiam este es</w:t>
      </w:r>
      <w:r w:rsidR="00EB4721" w:rsidRPr="00EB4721">
        <w:rPr>
          <w:rFonts w:ascii="Times New Roman" w:hAnsi="Times New Roman" w:cs="Times New Roman"/>
          <w:sz w:val="24"/>
          <w:szCs w:val="24"/>
        </w:rPr>
        <w:t>tudo e que devem ser considerado</w:t>
      </w:r>
      <w:r w:rsidRPr="00EB4721">
        <w:rPr>
          <w:rFonts w:ascii="Times New Roman" w:hAnsi="Times New Roman" w:cs="Times New Roman"/>
          <w:sz w:val="24"/>
          <w:szCs w:val="24"/>
        </w:rPr>
        <w:t xml:space="preserve">s na interpretação dos resultados. </w:t>
      </w:r>
      <w:r w:rsidR="00442A39" w:rsidRPr="00EB4721">
        <w:rPr>
          <w:rFonts w:ascii="Times New Roman" w:hAnsi="Times New Roman" w:cs="Times New Roman"/>
          <w:sz w:val="24"/>
          <w:szCs w:val="24"/>
        </w:rPr>
        <w:t>Em primeiro lugar</w:t>
      </w:r>
      <w:r w:rsidRPr="00EB4721">
        <w:rPr>
          <w:rFonts w:ascii="Times New Roman" w:hAnsi="Times New Roman" w:cs="Times New Roman"/>
          <w:sz w:val="24"/>
          <w:szCs w:val="24"/>
        </w:rPr>
        <w:t xml:space="preserve">, a utilização de dados secundários e agregados impossibilita a realização de </w:t>
      </w:r>
      <w:r w:rsidR="00442A39" w:rsidRPr="00EB4721">
        <w:rPr>
          <w:rFonts w:ascii="Times New Roman" w:hAnsi="Times New Roman" w:cs="Times New Roman"/>
          <w:sz w:val="24"/>
          <w:szCs w:val="24"/>
        </w:rPr>
        <w:t>análises modelares e de casualidade</w:t>
      </w:r>
      <w:r w:rsidRPr="00EB4721">
        <w:rPr>
          <w:rFonts w:ascii="Times New Roman" w:hAnsi="Times New Roman" w:cs="Times New Roman"/>
          <w:sz w:val="24"/>
          <w:szCs w:val="24"/>
        </w:rPr>
        <w:t>; ou seja, é possível</w:t>
      </w:r>
      <w:r w:rsidR="00442A39" w:rsidRPr="00EB4721">
        <w:rPr>
          <w:rFonts w:ascii="Times New Roman" w:hAnsi="Times New Roman" w:cs="Times New Roman"/>
          <w:sz w:val="24"/>
          <w:szCs w:val="24"/>
        </w:rPr>
        <w:t xml:space="preserve"> e</w:t>
      </w:r>
      <w:r w:rsidRPr="00EB4721">
        <w:rPr>
          <w:rFonts w:ascii="Times New Roman" w:hAnsi="Times New Roman" w:cs="Times New Roman"/>
          <w:sz w:val="24"/>
          <w:szCs w:val="24"/>
        </w:rPr>
        <w:t xml:space="preserve"> observação</w:t>
      </w:r>
      <w:r w:rsidR="00442A39" w:rsidRPr="00EB4721">
        <w:rPr>
          <w:rFonts w:ascii="Times New Roman" w:hAnsi="Times New Roman" w:cs="Times New Roman"/>
          <w:sz w:val="24"/>
          <w:szCs w:val="24"/>
        </w:rPr>
        <w:t xml:space="preserve"> e a descrição</w:t>
      </w:r>
      <w:r w:rsidRPr="00EB4721">
        <w:rPr>
          <w:rFonts w:ascii="Times New Roman" w:hAnsi="Times New Roman" w:cs="Times New Roman"/>
          <w:sz w:val="24"/>
          <w:szCs w:val="24"/>
        </w:rPr>
        <w:t xml:space="preserve"> de correlação entre os investimentos analisados e determinados indicadores de desempenho</w:t>
      </w:r>
      <w:r w:rsidR="00442A39" w:rsidRPr="00EB4721">
        <w:rPr>
          <w:rFonts w:ascii="Times New Roman" w:hAnsi="Times New Roman" w:cs="Times New Roman"/>
          <w:sz w:val="24"/>
          <w:szCs w:val="24"/>
        </w:rPr>
        <w:t xml:space="preserve"> industriais na Paraíba</w:t>
      </w:r>
      <w:r w:rsidRPr="00EB4721">
        <w:rPr>
          <w:rFonts w:ascii="Times New Roman" w:hAnsi="Times New Roman" w:cs="Times New Roman"/>
          <w:sz w:val="24"/>
          <w:szCs w:val="24"/>
        </w:rPr>
        <w:t xml:space="preserve">, </w:t>
      </w:r>
      <w:r w:rsidR="00815768" w:rsidRPr="00EB4721">
        <w:rPr>
          <w:rFonts w:ascii="Times New Roman" w:hAnsi="Times New Roman" w:cs="Times New Roman"/>
          <w:sz w:val="24"/>
          <w:szCs w:val="24"/>
        </w:rPr>
        <w:t xml:space="preserve">porém </w:t>
      </w:r>
      <w:r w:rsidRPr="00EB4721">
        <w:rPr>
          <w:rFonts w:ascii="Times New Roman" w:hAnsi="Times New Roman" w:cs="Times New Roman"/>
          <w:sz w:val="24"/>
          <w:szCs w:val="24"/>
        </w:rPr>
        <w:t>não é possível</w:t>
      </w:r>
      <w:r w:rsidR="00442A39" w:rsidRPr="00EB4721">
        <w:rPr>
          <w:rFonts w:ascii="Times New Roman" w:hAnsi="Times New Roman" w:cs="Times New Roman"/>
          <w:sz w:val="24"/>
          <w:szCs w:val="24"/>
        </w:rPr>
        <w:t xml:space="preserve"> a aplicação de modelos econométricos para que se aponte</w:t>
      </w:r>
      <w:r w:rsidRPr="00EB4721">
        <w:rPr>
          <w:rFonts w:ascii="Times New Roman" w:hAnsi="Times New Roman" w:cs="Times New Roman"/>
          <w:sz w:val="24"/>
          <w:szCs w:val="24"/>
        </w:rPr>
        <w:t xml:space="preserve"> que tais investimentos tenham sido a causa direta dos resultados observados. </w:t>
      </w:r>
      <w:r w:rsidR="00442A39" w:rsidRPr="00EB4721">
        <w:rPr>
          <w:rFonts w:ascii="Times New Roman" w:hAnsi="Times New Roman" w:cs="Times New Roman"/>
          <w:sz w:val="24"/>
          <w:szCs w:val="24"/>
        </w:rPr>
        <w:t>Outra modalidade de dados diz respeito ao portal da transparência do estado da Paraíba que mudou a metodologia de divulgação no ano de 2015, o que justifica a coleta de dados a partir de 2016</w:t>
      </w:r>
      <w:r w:rsidRPr="00EB4721">
        <w:rPr>
          <w:rFonts w:ascii="Times New Roman" w:hAnsi="Times New Roman" w:cs="Times New Roman"/>
          <w:sz w:val="24"/>
          <w:szCs w:val="24"/>
        </w:rPr>
        <w:t xml:space="preserve">. </w:t>
      </w:r>
    </w:p>
    <w:p w14:paraId="79999934" w14:textId="77777777" w:rsidR="001B1174" w:rsidRPr="002F68A0" w:rsidRDefault="001B1174" w:rsidP="00903ED2">
      <w:pPr>
        <w:spacing w:after="0" w:line="360" w:lineRule="auto"/>
        <w:contextualSpacing/>
        <w:jc w:val="both"/>
        <w:rPr>
          <w:rFonts w:ascii="Times New Roman" w:eastAsia="Times New Roman" w:hAnsi="Times New Roman" w:cs="Times New Roman"/>
          <w:sz w:val="24"/>
          <w:szCs w:val="24"/>
        </w:rPr>
      </w:pPr>
    </w:p>
    <w:p w14:paraId="649603BD" w14:textId="063D7188" w:rsidR="001B1174" w:rsidRDefault="00DD2D29" w:rsidP="00377E23">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2C2198" w:rsidRPr="00C623B1">
        <w:rPr>
          <w:rFonts w:ascii="Times New Roman" w:eastAsia="Times New Roman" w:hAnsi="Times New Roman" w:cs="Times New Roman"/>
          <w:b/>
          <w:sz w:val="24"/>
          <w:szCs w:val="24"/>
        </w:rPr>
        <w:t xml:space="preserve">. </w:t>
      </w:r>
      <w:r w:rsidR="001B1174" w:rsidRPr="00C623B1">
        <w:rPr>
          <w:rFonts w:ascii="Times New Roman" w:eastAsia="Times New Roman" w:hAnsi="Times New Roman" w:cs="Times New Roman"/>
          <w:b/>
          <w:sz w:val="24"/>
          <w:szCs w:val="24"/>
        </w:rPr>
        <w:t>RESULTADOS</w:t>
      </w:r>
    </w:p>
    <w:p w14:paraId="6DF78EE9" w14:textId="77777777" w:rsidR="009D219F" w:rsidRPr="009D219F" w:rsidRDefault="009D219F" w:rsidP="00377E23">
      <w:pPr>
        <w:spacing w:after="0" w:line="360" w:lineRule="auto"/>
        <w:contextualSpacing/>
        <w:jc w:val="both"/>
        <w:rPr>
          <w:rFonts w:ascii="Times New Roman" w:eastAsia="Times New Roman" w:hAnsi="Times New Roman" w:cs="Times New Roman"/>
          <w:sz w:val="12"/>
          <w:szCs w:val="24"/>
        </w:rPr>
      </w:pPr>
    </w:p>
    <w:p w14:paraId="6A1A6849" w14:textId="332EE895" w:rsidR="001B1174" w:rsidRDefault="00DD2D29" w:rsidP="009D219F">
      <w:pPr>
        <w:pBdr>
          <w:top w:val="nil"/>
          <w:left w:val="nil"/>
          <w:bottom w:val="nil"/>
          <w:right w:val="nil"/>
          <w:between w:val="nil"/>
        </w:pBdr>
        <w:shd w:val="clear" w:color="auto" w:fill="FFFFFF"/>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BB61BA">
        <w:rPr>
          <w:rFonts w:ascii="Times New Roman" w:eastAsia="Times New Roman" w:hAnsi="Times New Roman" w:cs="Times New Roman"/>
          <w:b/>
          <w:sz w:val="24"/>
          <w:szCs w:val="24"/>
        </w:rPr>
        <w:t xml:space="preserve">.1 </w:t>
      </w:r>
      <w:r w:rsidR="00BB61BA" w:rsidRPr="009C6C7A">
        <w:rPr>
          <w:rFonts w:ascii="Times New Roman" w:eastAsia="Times New Roman" w:hAnsi="Times New Roman" w:cs="Times New Roman"/>
          <w:b/>
          <w:sz w:val="24"/>
          <w:szCs w:val="24"/>
        </w:rPr>
        <w:t>Evolução</w:t>
      </w:r>
      <w:r w:rsidR="009C6C7A" w:rsidRPr="009C6C7A">
        <w:rPr>
          <w:rFonts w:ascii="Times New Roman" w:eastAsia="Times New Roman" w:hAnsi="Times New Roman" w:cs="Times New Roman"/>
          <w:b/>
          <w:sz w:val="24"/>
          <w:szCs w:val="24"/>
        </w:rPr>
        <w:t xml:space="preserve"> da Produção Industrial e do PIB Paraibano</w:t>
      </w:r>
      <w:r w:rsidR="00BB61BA">
        <w:rPr>
          <w:rFonts w:ascii="Times New Roman" w:eastAsia="Times New Roman" w:hAnsi="Times New Roman" w:cs="Times New Roman"/>
          <w:b/>
          <w:sz w:val="24"/>
          <w:szCs w:val="24"/>
        </w:rPr>
        <w:t xml:space="preserve"> e sua participação n</w:t>
      </w:r>
      <w:r w:rsidR="009A0111">
        <w:rPr>
          <w:rFonts w:ascii="Times New Roman" w:eastAsia="Times New Roman" w:hAnsi="Times New Roman" w:cs="Times New Roman"/>
          <w:b/>
          <w:sz w:val="24"/>
          <w:szCs w:val="24"/>
        </w:rPr>
        <w:t>o</w:t>
      </w:r>
      <w:r w:rsidR="00BB61BA">
        <w:rPr>
          <w:rFonts w:ascii="Times New Roman" w:eastAsia="Times New Roman" w:hAnsi="Times New Roman" w:cs="Times New Roman"/>
          <w:b/>
          <w:sz w:val="24"/>
          <w:szCs w:val="24"/>
        </w:rPr>
        <w:t xml:space="preserve"> </w:t>
      </w:r>
      <w:r w:rsidR="009A0111">
        <w:rPr>
          <w:rFonts w:ascii="Times New Roman" w:eastAsia="Times New Roman" w:hAnsi="Times New Roman" w:cs="Times New Roman"/>
          <w:b/>
          <w:sz w:val="24"/>
          <w:szCs w:val="24"/>
        </w:rPr>
        <w:t>N</w:t>
      </w:r>
      <w:r w:rsidR="00BB61BA">
        <w:rPr>
          <w:rFonts w:ascii="Times New Roman" w:eastAsia="Times New Roman" w:hAnsi="Times New Roman" w:cs="Times New Roman"/>
          <w:b/>
          <w:sz w:val="24"/>
          <w:szCs w:val="24"/>
        </w:rPr>
        <w:t>ordeste</w:t>
      </w:r>
    </w:p>
    <w:p w14:paraId="58BE1761" w14:textId="77777777" w:rsidR="009A0111" w:rsidRPr="00740750" w:rsidRDefault="009A0111" w:rsidP="009D219F">
      <w:pPr>
        <w:pBdr>
          <w:top w:val="nil"/>
          <w:left w:val="nil"/>
          <w:bottom w:val="nil"/>
          <w:right w:val="nil"/>
          <w:between w:val="nil"/>
        </w:pBdr>
        <w:shd w:val="clear" w:color="auto" w:fill="FFFFFF"/>
        <w:spacing w:after="0" w:line="240" w:lineRule="auto"/>
        <w:contextualSpacing/>
        <w:jc w:val="both"/>
        <w:rPr>
          <w:rFonts w:ascii="Times New Roman" w:hAnsi="Times New Roman" w:cs="Times New Roman"/>
          <w:b/>
          <w:sz w:val="20"/>
          <w:szCs w:val="24"/>
        </w:rPr>
      </w:pPr>
    </w:p>
    <w:p w14:paraId="121FB7AD" w14:textId="450D146F" w:rsidR="001B1174" w:rsidRPr="00B3065A" w:rsidRDefault="00BB61BA" w:rsidP="009D219F">
      <w:pPr>
        <w:pBdr>
          <w:top w:val="nil"/>
          <w:left w:val="nil"/>
          <w:bottom w:val="nil"/>
          <w:right w:val="nil"/>
          <w:between w:val="nil"/>
        </w:pBdr>
        <w:shd w:val="clear" w:color="auto" w:fill="FFFFFF"/>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Esta</w:t>
      </w:r>
      <w:r w:rsidR="00B3065A" w:rsidRPr="00B3065A">
        <w:rPr>
          <w:rFonts w:ascii="Times New Roman" w:hAnsi="Times New Roman" w:cs="Times New Roman"/>
          <w:sz w:val="24"/>
          <w:szCs w:val="24"/>
        </w:rPr>
        <w:t xml:space="preserve"> </w:t>
      </w:r>
      <w:r>
        <w:rPr>
          <w:rFonts w:ascii="Times New Roman" w:hAnsi="Times New Roman" w:cs="Times New Roman"/>
          <w:sz w:val="24"/>
          <w:szCs w:val="24"/>
        </w:rPr>
        <w:t>seção</w:t>
      </w:r>
      <w:r w:rsidR="00B3065A" w:rsidRPr="00B3065A">
        <w:rPr>
          <w:rFonts w:ascii="Times New Roman" w:hAnsi="Times New Roman" w:cs="Times New Roman"/>
          <w:sz w:val="24"/>
          <w:szCs w:val="24"/>
        </w:rPr>
        <w:t xml:space="preserve"> analisa a evolução da participação percentual do Valor Adicionado Bruto (VAB) nos setores da agropecuária, indústria e serviços na Paraíba e no Nordeste, entre 2016 e 2022. A análise permite compreender a estrutura produtiva regional e suas transformações ao longo do tempo. </w:t>
      </w:r>
    </w:p>
    <w:p w14:paraId="6215B879" w14:textId="7B0F76D1" w:rsidR="00B95A06" w:rsidRPr="00B95A06" w:rsidRDefault="00B95A06" w:rsidP="00377E23">
      <w:pPr>
        <w:spacing w:after="0" w:line="360" w:lineRule="auto"/>
        <w:ind w:firstLine="708"/>
        <w:contextualSpacing/>
        <w:jc w:val="both"/>
        <w:rPr>
          <w:rFonts w:ascii="Times New Roman" w:eastAsia="Times New Roman" w:hAnsi="Times New Roman" w:cs="Times New Roman"/>
          <w:kern w:val="0"/>
          <w:sz w:val="24"/>
          <w:szCs w:val="24"/>
          <w:lang w:eastAsia="pt-BR"/>
          <w14:ligatures w14:val="none"/>
        </w:rPr>
      </w:pPr>
      <w:r w:rsidRPr="00B95A06">
        <w:rPr>
          <w:rFonts w:ascii="Times New Roman" w:eastAsia="Times New Roman" w:hAnsi="Times New Roman" w:cs="Times New Roman"/>
          <w:kern w:val="0"/>
          <w:sz w:val="24"/>
          <w:szCs w:val="24"/>
          <w:lang w:eastAsia="pt-BR"/>
          <w14:ligatures w14:val="none"/>
        </w:rPr>
        <w:t xml:space="preserve">A Figura </w:t>
      </w:r>
      <w:r w:rsidR="0002784E">
        <w:rPr>
          <w:rFonts w:ascii="Times New Roman" w:eastAsia="Times New Roman" w:hAnsi="Times New Roman" w:cs="Times New Roman"/>
          <w:kern w:val="0"/>
          <w:sz w:val="24"/>
          <w:szCs w:val="24"/>
          <w:lang w:eastAsia="pt-BR"/>
          <w14:ligatures w14:val="none"/>
        </w:rPr>
        <w:t>1</w:t>
      </w:r>
      <w:r w:rsidRPr="00B95A06">
        <w:rPr>
          <w:rFonts w:ascii="Times New Roman" w:eastAsia="Times New Roman" w:hAnsi="Times New Roman" w:cs="Times New Roman"/>
          <w:kern w:val="0"/>
          <w:sz w:val="24"/>
          <w:szCs w:val="24"/>
          <w:lang w:eastAsia="pt-BR"/>
          <w14:ligatures w14:val="none"/>
        </w:rPr>
        <w:t xml:space="preserve"> apresenta a evolução da participação dos subsetores industriais no Valor Adicionado Bruto (VAB) da indústria na região Nordeste entre 2016 e 2022. Nesse período, as </w:t>
      </w:r>
      <w:r w:rsidRPr="00B95A06">
        <w:rPr>
          <w:rFonts w:ascii="Times New Roman" w:eastAsia="Times New Roman" w:hAnsi="Times New Roman" w:cs="Times New Roman"/>
          <w:bCs/>
          <w:kern w:val="0"/>
          <w:sz w:val="24"/>
          <w:szCs w:val="24"/>
          <w:lang w:eastAsia="pt-BR"/>
          <w14:ligatures w14:val="none"/>
        </w:rPr>
        <w:t>indústrias de transformação</w:t>
      </w:r>
      <w:r w:rsidRPr="00B95A06">
        <w:rPr>
          <w:rFonts w:ascii="Times New Roman" w:eastAsia="Times New Roman" w:hAnsi="Times New Roman" w:cs="Times New Roman"/>
          <w:kern w:val="0"/>
          <w:sz w:val="24"/>
          <w:szCs w:val="24"/>
          <w:lang w:eastAsia="pt-BR"/>
          <w14:ligatures w14:val="none"/>
        </w:rPr>
        <w:t xml:space="preserve"> se destacaram como o subsetor mais relevante, com participação variando entre </w:t>
      </w:r>
      <w:r w:rsidR="007A0DB2">
        <w:rPr>
          <w:rFonts w:ascii="Times New Roman" w:eastAsia="Times New Roman" w:hAnsi="Times New Roman" w:cs="Times New Roman"/>
          <w:bCs/>
          <w:kern w:val="0"/>
          <w:sz w:val="24"/>
          <w:szCs w:val="24"/>
          <w:lang w:eastAsia="pt-BR"/>
          <w14:ligatures w14:val="none"/>
        </w:rPr>
        <w:t>50</w:t>
      </w:r>
      <w:r w:rsidRPr="00B95A06">
        <w:rPr>
          <w:rFonts w:ascii="Times New Roman" w:eastAsia="Times New Roman" w:hAnsi="Times New Roman" w:cs="Times New Roman"/>
          <w:bCs/>
          <w:kern w:val="0"/>
          <w:sz w:val="24"/>
          <w:szCs w:val="24"/>
          <w:lang w:eastAsia="pt-BR"/>
          <w14:ligatures w14:val="none"/>
        </w:rPr>
        <w:t xml:space="preserve">% e </w:t>
      </w:r>
      <w:r w:rsidR="007A0DB2">
        <w:rPr>
          <w:rFonts w:ascii="Times New Roman" w:eastAsia="Times New Roman" w:hAnsi="Times New Roman" w:cs="Times New Roman"/>
          <w:bCs/>
          <w:kern w:val="0"/>
          <w:sz w:val="24"/>
          <w:szCs w:val="24"/>
          <w:lang w:eastAsia="pt-BR"/>
          <w14:ligatures w14:val="none"/>
        </w:rPr>
        <w:t>55</w:t>
      </w:r>
      <w:r w:rsidRPr="00B95A06">
        <w:rPr>
          <w:rFonts w:ascii="Times New Roman" w:eastAsia="Times New Roman" w:hAnsi="Times New Roman" w:cs="Times New Roman"/>
          <w:bCs/>
          <w:kern w:val="0"/>
          <w:sz w:val="24"/>
          <w:szCs w:val="24"/>
          <w:lang w:eastAsia="pt-BR"/>
          <w14:ligatures w14:val="none"/>
        </w:rPr>
        <w:t>%</w:t>
      </w:r>
      <w:r w:rsidRPr="00B95A06">
        <w:rPr>
          <w:rFonts w:ascii="Times New Roman" w:eastAsia="Times New Roman" w:hAnsi="Times New Roman" w:cs="Times New Roman"/>
          <w:kern w:val="0"/>
          <w:sz w:val="24"/>
          <w:szCs w:val="24"/>
          <w:lang w:eastAsia="pt-BR"/>
          <w14:ligatures w14:val="none"/>
        </w:rPr>
        <w:t xml:space="preserve">. A partir de </w:t>
      </w:r>
      <w:r w:rsidRPr="00B95A06">
        <w:rPr>
          <w:rFonts w:ascii="Times New Roman" w:eastAsia="Times New Roman" w:hAnsi="Times New Roman" w:cs="Times New Roman"/>
          <w:bCs/>
          <w:kern w:val="0"/>
          <w:sz w:val="24"/>
          <w:szCs w:val="24"/>
          <w:lang w:eastAsia="pt-BR"/>
          <w14:ligatures w14:val="none"/>
        </w:rPr>
        <w:t>2020</w:t>
      </w:r>
      <w:r w:rsidRPr="00B95A06">
        <w:rPr>
          <w:rFonts w:ascii="Times New Roman" w:eastAsia="Times New Roman" w:hAnsi="Times New Roman" w:cs="Times New Roman"/>
          <w:kern w:val="0"/>
          <w:sz w:val="24"/>
          <w:szCs w:val="24"/>
          <w:lang w:eastAsia="pt-BR"/>
          <w14:ligatures w14:val="none"/>
        </w:rPr>
        <w:t xml:space="preserve">, observa-se uma tendência de crescimento, com sua contribuição aumentando de aproximadamente </w:t>
      </w:r>
      <w:r w:rsidR="007A0DB2">
        <w:rPr>
          <w:rFonts w:ascii="Times New Roman" w:eastAsia="Times New Roman" w:hAnsi="Times New Roman" w:cs="Times New Roman"/>
          <w:kern w:val="0"/>
          <w:sz w:val="24"/>
          <w:szCs w:val="24"/>
          <w:lang w:eastAsia="pt-BR"/>
          <w14:ligatures w14:val="none"/>
        </w:rPr>
        <w:t>47,2</w:t>
      </w:r>
      <w:r w:rsidR="007A0DB2">
        <w:rPr>
          <w:rFonts w:ascii="Times New Roman" w:eastAsia="Times New Roman" w:hAnsi="Times New Roman" w:cs="Times New Roman"/>
          <w:bCs/>
          <w:kern w:val="0"/>
          <w:sz w:val="24"/>
          <w:szCs w:val="24"/>
          <w:lang w:eastAsia="pt-BR"/>
          <w14:ligatures w14:val="none"/>
        </w:rPr>
        <w:t>% para 55,8</w:t>
      </w:r>
      <w:r w:rsidRPr="00B95A06">
        <w:rPr>
          <w:rFonts w:ascii="Times New Roman" w:eastAsia="Times New Roman" w:hAnsi="Times New Roman" w:cs="Times New Roman"/>
          <w:bCs/>
          <w:kern w:val="0"/>
          <w:sz w:val="24"/>
          <w:szCs w:val="24"/>
          <w:lang w:eastAsia="pt-BR"/>
          <w14:ligatures w14:val="none"/>
        </w:rPr>
        <w:t>% em 2022</w:t>
      </w:r>
      <w:r w:rsidRPr="00B95A06">
        <w:rPr>
          <w:rFonts w:ascii="Times New Roman" w:eastAsia="Times New Roman" w:hAnsi="Times New Roman" w:cs="Times New Roman"/>
          <w:kern w:val="0"/>
          <w:sz w:val="24"/>
          <w:szCs w:val="24"/>
          <w:lang w:eastAsia="pt-BR"/>
          <w14:ligatures w14:val="none"/>
        </w:rPr>
        <w:t xml:space="preserve">. Esse movimento pode refletir uma série de fatores, como </w:t>
      </w:r>
      <w:r w:rsidRPr="00B95A06">
        <w:rPr>
          <w:rFonts w:ascii="Times New Roman" w:eastAsia="Times New Roman" w:hAnsi="Times New Roman" w:cs="Times New Roman"/>
          <w:bCs/>
          <w:kern w:val="0"/>
          <w:sz w:val="24"/>
          <w:szCs w:val="24"/>
          <w:lang w:eastAsia="pt-BR"/>
          <w14:ligatures w14:val="none"/>
        </w:rPr>
        <w:t>desafios econômicos, mudanças na demanda ou até mesmo um processo de desindustrialização relativa</w:t>
      </w:r>
      <w:r w:rsidRPr="00B95A06">
        <w:rPr>
          <w:rFonts w:ascii="Times New Roman" w:eastAsia="Times New Roman" w:hAnsi="Times New Roman" w:cs="Times New Roman"/>
          <w:kern w:val="0"/>
          <w:sz w:val="24"/>
          <w:szCs w:val="24"/>
          <w:lang w:eastAsia="pt-BR"/>
          <w14:ligatures w14:val="none"/>
        </w:rPr>
        <w:t xml:space="preserve"> na região.</w:t>
      </w:r>
    </w:p>
    <w:p w14:paraId="7652F4B0" w14:textId="1C655988" w:rsidR="00B95A06" w:rsidRPr="00B95A06" w:rsidRDefault="00B95A06" w:rsidP="00377E23">
      <w:pPr>
        <w:spacing w:after="0" w:line="360" w:lineRule="auto"/>
        <w:ind w:firstLine="708"/>
        <w:contextualSpacing/>
        <w:jc w:val="both"/>
        <w:rPr>
          <w:rFonts w:ascii="Times New Roman" w:eastAsia="Times New Roman" w:hAnsi="Times New Roman" w:cs="Times New Roman"/>
          <w:kern w:val="0"/>
          <w:sz w:val="24"/>
          <w:szCs w:val="24"/>
          <w:lang w:eastAsia="pt-BR"/>
          <w14:ligatures w14:val="none"/>
        </w:rPr>
      </w:pPr>
      <w:r w:rsidRPr="00B95A06">
        <w:rPr>
          <w:rFonts w:ascii="Times New Roman" w:eastAsia="Times New Roman" w:hAnsi="Times New Roman" w:cs="Times New Roman"/>
          <w:kern w:val="0"/>
          <w:sz w:val="24"/>
          <w:szCs w:val="24"/>
          <w:lang w:eastAsia="pt-BR"/>
          <w14:ligatures w14:val="none"/>
        </w:rPr>
        <w:lastRenderedPageBreak/>
        <w:t xml:space="preserve">Em segundo lugar, o subsetor da </w:t>
      </w:r>
      <w:r w:rsidRPr="00B95A06">
        <w:rPr>
          <w:rFonts w:ascii="Times New Roman" w:eastAsia="Times New Roman" w:hAnsi="Times New Roman" w:cs="Times New Roman"/>
          <w:bCs/>
          <w:kern w:val="0"/>
          <w:sz w:val="24"/>
          <w:szCs w:val="24"/>
          <w:lang w:eastAsia="pt-BR"/>
          <w14:ligatures w14:val="none"/>
        </w:rPr>
        <w:t>construção</w:t>
      </w:r>
      <w:r w:rsidRPr="00B95A06">
        <w:rPr>
          <w:rFonts w:ascii="Times New Roman" w:eastAsia="Times New Roman" w:hAnsi="Times New Roman" w:cs="Times New Roman"/>
          <w:kern w:val="0"/>
          <w:sz w:val="24"/>
          <w:szCs w:val="24"/>
          <w:lang w:eastAsia="pt-BR"/>
          <w14:ligatures w14:val="none"/>
        </w:rPr>
        <w:t xml:space="preserve"> manteve uma participação relativamente estável, embora com uma </w:t>
      </w:r>
      <w:r w:rsidRPr="00B95A06">
        <w:rPr>
          <w:rFonts w:ascii="Times New Roman" w:eastAsia="Times New Roman" w:hAnsi="Times New Roman" w:cs="Times New Roman"/>
          <w:bCs/>
          <w:kern w:val="0"/>
          <w:sz w:val="24"/>
          <w:szCs w:val="24"/>
          <w:lang w:eastAsia="pt-BR"/>
          <w14:ligatures w14:val="none"/>
        </w:rPr>
        <w:t>tendência de declínio</w:t>
      </w:r>
      <w:r w:rsidRPr="00B95A06">
        <w:rPr>
          <w:rFonts w:ascii="Times New Roman" w:eastAsia="Times New Roman" w:hAnsi="Times New Roman" w:cs="Times New Roman"/>
          <w:kern w:val="0"/>
          <w:sz w:val="24"/>
          <w:szCs w:val="24"/>
          <w:lang w:eastAsia="pt-BR"/>
          <w14:ligatures w14:val="none"/>
        </w:rPr>
        <w:t xml:space="preserve">, oscilando entre </w:t>
      </w:r>
      <w:r w:rsidR="007A0DB2">
        <w:rPr>
          <w:rFonts w:ascii="Times New Roman" w:eastAsia="Times New Roman" w:hAnsi="Times New Roman" w:cs="Times New Roman"/>
          <w:kern w:val="0"/>
          <w:sz w:val="24"/>
          <w:szCs w:val="24"/>
          <w:lang w:eastAsia="pt-BR"/>
          <w14:ligatures w14:val="none"/>
        </w:rPr>
        <w:t>32</w:t>
      </w:r>
      <w:r w:rsidRPr="00B95A06">
        <w:rPr>
          <w:rFonts w:ascii="Times New Roman" w:eastAsia="Times New Roman" w:hAnsi="Times New Roman" w:cs="Times New Roman"/>
          <w:bCs/>
          <w:kern w:val="0"/>
          <w:sz w:val="24"/>
          <w:szCs w:val="24"/>
          <w:lang w:eastAsia="pt-BR"/>
          <w14:ligatures w14:val="none"/>
        </w:rPr>
        <w:t xml:space="preserve">% e </w:t>
      </w:r>
      <w:r w:rsidR="007A0DB2">
        <w:rPr>
          <w:rFonts w:ascii="Times New Roman" w:eastAsia="Times New Roman" w:hAnsi="Times New Roman" w:cs="Times New Roman"/>
          <w:bCs/>
          <w:kern w:val="0"/>
          <w:sz w:val="24"/>
          <w:szCs w:val="24"/>
          <w:lang w:eastAsia="pt-BR"/>
          <w14:ligatures w14:val="none"/>
        </w:rPr>
        <w:t>19</w:t>
      </w:r>
      <w:r w:rsidRPr="00B95A06">
        <w:rPr>
          <w:rFonts w:ascii="Times New Roman" w:eastAsia="Times New Roman" w:hAnsi="Times New Roman" w:cs="Times New Roman"/>
          <w:bCs/>
          <w:kern w:val="0"/>
          <w:sz w:val="24"/>
          <w:szCs w:val="24"/>
          <w:lang w:eastAsia="pt-BR"/>
          <w14:ligatures w14:val="none"/>
        </w:rPr>
        <w:t>%</w:t>
      </w:r>
      <w:r w:rsidRPr="00B95A06">
        <w:rPr>
          <w:rFonts w:ascii="Times New Roman" w:eastAsia="Times New Roman" w:hAnsi="Times New Roman" w:cs="Times New Roman"/>
          <w:kern w:val="0"/>
          <w:sz w:val="24"/>
          <w:szCs w:val="24"/>
          <w:lang w:eastAsia="pt-BR"/>
          <w14:ligatures w14:val="none"/>
        </w:rPr>
        <w:t xml:space="preserve"> ao longo do período. Esse comportamento evidencia </w:t>
      </w:r>
      <w:r w:rsidR="007A0DB2" w:rsidRPr="00B95A06">
        <w:rPr>
          <w:rFonts w:ascii="Times New Roman" w:eastAsia="Times New Roman" w:hAnsi="Times New Roman" w:cs="Times New Roman"/>
          <w:kern w:val="0"/>
          <w:sz w:val="24"/>
          <w:szCs w:val="24"/>
          <w:lang w:eastAsia="pt-BR"/>
          <w14:ligatures w14:val="none"/>
        </w:rPr>
        <w:t>certa</w:t>
      </w:r>
      <w:r w:rsidRPr="00B95A06">
        <w:rPr>
          <w:rFonts w:ascii="Times New Roman" w:eastAsia="Times New Roman" w:hAnsi="Times New Roman" w:cs="Times New Roman"/>
          <w:bCs/>
          <w:kern w:val="0"/>
          <w:sz w:val="24"/>
          <w:szCs w:val="24"/>
          <w:lang w:eastAsia="pt-BR"/>
          <w14:ligatures w14:val="none"/>
        </w:rPr>
        <w:t xml:space="preserve"> sensibilidade do setor</w:t>
      </w:r>
      <w:r w:rsidRPr="00B95A06">
        <w:rPr>
          <w:rFonts w:ascii="Times New Roman" w:eastAsia="Times New Roman" w:hAnsi="Times New Roman" w:cs="Times New Roman"/>
          <w:kern w:val="0"/>
          <w:sz w:val="24"/>
          <w:szCs w:val="24"/>
          <w:lang w:eastAsia="pt-BR"/>
          <w14:ligatures w14:val="none"/>
        </w:rPr>
        <w:t xml:space="preserve">, possivelmente decorrente da </w:t>
      </w:r>
      <w:r w:rsidRPr="00B95A06">
        <w:rPr>
          <w:rFonts w:ascii="Times New Roman" w:eastAsia="Times New Roman" w:hAnsi="Times New Roman" w:cs="Times New Roman"/>
          <w:bCs/>
          <w:kern w:val="0"/>
          <w:sz w:val="24"/>
          <w:szCs w:val="24"/>
          <w:lang w:eastAsia="pt-BR"/>
          <w14:ligatures w14:val="none"/>
        </w:rPr>
        <w:t>ausência de investimentos em infraestrutura ou da redução de programas habitacionais</w:t>
      </w:r>
      <w:r w:rsidRPr="00B95A06">
        <w:rPr>
          <w:rFonts w:ascii="Times New Roman" w:eastAsia="Times New Roman" w:hAnsi="Times New Roman" w:cs="Times New Roman"/>
          <w:kern w:val="0"/>
          <w:sz w:val="24"/>
          <w:szCs w:val="24"/>
          <w:lang w:eastAsia="pt-BR"/>
          <w14:ligatures w14:val="none"/>
        </w:rPr>
        <w:t>.</w:t>
      </w:r>
    </w:p>
    <w:p w14:paraId="6781F201" w14:textId="11EED889" w:rsidR="00B95A06" w:rsidRPr="00B95A06" w:rsidRDefault="00B95A06" w:rsidP="00377E23">
      <w:pPr>
        <w:spacing w:after="0" w:line="360" w:lineRule="auto"/>
        <w:ind w:firstLine="708"/>
        <w:contextualSpacing/>
        <w:jc w:val="both"/>
        <w:rPr>
          <w:rFonts w:ascii="Times New Roman" w:eastAsia="Times New Roman" w:hAnsi="Times New Roman" w:cs="Times New Roman"/>
          <w:kern w:val="0"/>
          <w:sz w:val="24"/>
          <w:szCs w:val="24"/>
          <w:lang w:eastAsia="pt-BR"/>
          <w14:ligatures w14:val="none"/>
        </w:rPr>
      </w:pPr>
      <w:r w:rsidRPr="00B95A06">
        <w:rPr>
          <w:rFonts w:ascii="Times New Roman" w:eastAsia="Times New Roman" w:hAnsi="Times New Roman" w:cs="Times New Roman"/>
          <w:kern w:val="0"/>
          <w:sz w:val="24"/>
          <w:szCs w:val="24"/>
          <w:lang w:eastAsia="pt-BR"/>
          <w14:ligatures w14:val="none"/>
        </w:rPr>
        <w:t xml:space="preserve">Os subsetores de </w:t>
      </w:r>
      <w:r w:rsidRPr="00B95A06">
        <w:rPr>
          <w:rFonts w:ascii="Times New Roman" w:eastAsia="Times New Roman" w:hAnsi="Times New Roman" w:cs="Times New Roman"/>
          <w:bCs/>
          <w:kern w:val="0"/>
          <w:sz w:val="24"/>
          <w:szCs w:val="24"/>
          <w:lang w:eastAsia="pt-BR"/>
          <w14:ligatures w14:val="none"/>
        </w:rPr>
        <w:t>eletricidade e gás, água, esgoto, gestão de resíduos e descontaminação</w:t>
      </w:r>
      <w:r w:rsidRPr="00B95A06">
        <w:rPr>
          <w:rFonts w:ascii="Times New Roman" w:eastAsia="Times New Roman" w:hAnsi="Times New Roman" w:cs="Times New Roman"/>
          <w:kern w:val="0"/>
          <w:sz w:val="24"/>
          <w:szCs w:val="24"/>
          <w:lang w:eastAsia="pt-BR"/>
          <w14:ligatures w14:val="none"/>
        </w:rPr>
        <w:t xml:space="preserve">, bem como a </w:t>
      </w:r>
      <w:r w:rsidRPr="00B95A06">
        <w:rPr>
          <w:rFonts w:ascii="Times New Roman" w:eastAsia="Times New Roman" w:hAnsi="Times New Roman" w:cs="Times New Roman"/>
          <w:bCs/>
          <w:kern w:val="0"/>
          <w:sz w:val="24"/>
          <w:szCs w:val="24"/>
          <w:lang w:eastAsia="pt-BR"/>
          <w14:ligatures w14:val="none"/>
        </w:rPr>
        <w:t>indústria extrativa</w:t>
      </w:r>
      <w:r w:rsidRPr="00B95A06">
        <w:rPr>
          <w:rFonts w:ascii="Times New Roman" w:eastAsia="Times New Roman" w:hAnsi="Times New Roman" w:cs="Times New Roman"/>
          <w:kern w:val="0"/>
          <w:sz w:val="24"/>
          <w:szCs w:val="24"/>
          <w:lang w:eastAsia="pt-BR"/>
          <w14:ligatures w14:val="none"/>
        </w:rPr>
        <w:t xml:space="preserve">, apresentaram </w:t>
      </w:r>
      <w:r w:rsidRPr="00B95A06">
        <w:rPr>
          <w:rFonts w:ascii="Times New Roman" w:eastAsia="Times New Roman" w:hAnsi="Times New Roman" w:cs="Times New Roman"/>
          <w:bCs/>
          <w:kern w:val="0"/>
          <w:sz w:val="24"/>
          <w:szCs w:val="24"/>
          <w:lang w:eastAsia="pt-BR"/>
          <w14:ligatures w14:val="none"/>
        </w:rPr>
        <w:t>participação modesta</w:t>
      </w:r>
      <w:r w:rsidRPr="00B95A06">
        <w:rPr>
          <w:rFonts w:ascii="Times New Roman" w:eastAsia="Times New Roman" w:hAnsi="Times New Roman" w:cs="Times New Roman"/>
          <w:kern w:val="0"/>
          <w:sz w:val="24"/>
          <w:szCs w:val="24"/>
          <w:lang w:eastAsia="pt-BR"/>
          <w14:ligatures w14:val="none"/>
        </w:rPr>
        <w:t xml:space="preserve">, variando entre </w:t>
      </w:r>
      <w:r w:rsidR="007A0DB2">
        <w:rPr>
          <w:rFonts w:ascii="Times New Roman" w:eastAsia="Times New Roman" w:hAnsi="Times New Roman" w:cs="Times New Roman"/>
          <w:bCs/>
          <w:kern w:val="0"/>
          <w:sz w:val="24"/>
          <w:szCs w:val="24"/>
          <w:lang w:eastAsia="pt-BR"/>
          <w14:ligatures w14:val="none"/>
        </w:rPr>
        <w:t>2% e 5</w:t>
      </w:r>
      <w:r w:rsidRPr="00B95A06">
        <w:rPr>
          <w:rFonts w:ascii="Times New Roman" w:eastAsia="Times New Roman" w:hAnsi="Times New Roman" w:cs="Times New Roman"/>
          <w:bCs/>
          <w:kern w:val="0"/>
          <w:sz w:val="24"/>
          <w:szCs w:val="24"/>
          <w:lang w:eastAsia="pt-BR"/>
          <w14:ligatures w14:val="none"/>
        </w:rPr>
        <w:t>%</w:t>
      </w:r>
      <w:r w:rsidR="007A0DB2">
        <w:rPr>
          <w:rFonts w:ascii="Times New Roman" w:eastAsia="Times New Roman" w:hAnsi="Times New Roman" w:cs="Times New Roman"/>
          <w:kern w:val="0"/>
          <w:sz w:val="24"/>
          <w:szCs w:val="24"/>
          <w:lang w:eastAsia="pt-BR"/>
          <w14:ligatures w14:val="none"/>
        </w:rPr>
        <w:t>,</w:t>
      </w:r>
      <w:r w:rsidRPr="00B95A06">
        <w:rPr>
          <w:rFonts w:ascii="Times New Roman" w:eastAsia="Times New Roman" w:hAnsi="Times New Roman" w:cs="Times New Roman"/>
          <w:kern w:val="0"/>
          <w:sz w:val="24"/>
          <w:szCs w:val="24"/>
          <w:lang w:eastAsia="pt-BR"/>
          <w14:ligatures w14:val="none"/>
        </w:rPr>
        <w:t xml:space="preserve"> respectivamente. Esses dados indicam que </w:t>
      </w:r>
      <w:r w:rsidRPr="00B95A06">
        <w:rPr>
          <w:rFonts w:ascii="Times New Roman" w:eastAsia="Times New Roman" w:hAnsi="Times New Roman" w:cs="Times New Roman"/>
          <w:bCs/>
          <w:kern w:val="0"/>
          <w:sz w:val="24"/>
          <w:szCs w:val="24"/>
          <w:lang w:eastAsia="pt-BR"/>
          <w14:ligatures w14:val="none"/>
        </w:rPr>
        <w:t>atividades como mineração e exploração de petróleo têm peso insignificante no VAB industrial do Nordeste</w:t>
      </w:r>
      <w:r w:rsidRPr="00B95A06">
        <w:rPr>
          <w:rFonts w:ascii="Times New Roman" w:eastAsia="Times New Roman" w:hAnsi="Times New Roman" w:cs="Times New Roman"/>
          <w:kern w:val="0"/>
          <w:sz w:val="24"/>
          <w:szCs w:val="24"/>
          <w:lang w:eastAsia="pt-BR"/>
          <w14:ligatures w14:val="none"/>
        </w:rPr>
        <w:t>.</w:t>
      </w:r>
    </w:p>
    <w:p w14:paraId="7F2E0A1E" w14:textId="77777777" w:rsidR="00B95A06" w:rsidRPr="00B95A06" w:rsidRDefault="00B95A06" w:rsidP="00377E23">
      <w:pPr>
        <w:spacing w:after="0" w:line="360" w:lineRule="auto"/>
        <w:ind w:firstLine="708"/>
        <w:contextualSpacing/>
        <w:jc w:val="both"/>
        <w:rPr>
          <w:rFonts w:ascii="Times New Roman" w:eastAsia="Times New Roman" w:hAnsi="Times New Roman" w:cs="Times New Roman"/>
          <w:kern w:val="0"/>
          <w:sz w:val="24"/>
          <w:szCs w:val="24"/>
          <w:lang w:eastAsia="pt-BR"/>
          <w14:ligatures w14:val="none"/>
        </w:rPr>
      </w:pPr>
      <w:r w:rsidRPr="00B95A06">
        <w:rPr>
          <w:rFonts w:ascii="Times New Roman" w:eastAsia="Times New Roman" w:hAnsi="Times New Roman" w:cs="Times New Roman"/>
          <w:kern w:val="0"/>
          <w:sz w:val="24"/>
          <w:szCs w:val="24"/>
          <w:lang w:eastAsia="pt-BR"/>
          <w14:ligatures w14:val="none"/>
        </w:rPr>
        <w:t xml:space="preserve">Em resumo, a </w:t>
      </w:r>
      <w:r w:rsidRPr="00B95A06">
        <w:rPr>
          <w:rFonts w:ascii="Times New Roman" w:eastAsia="Times New Roman" w:hAnsi="Times New Roman" w:cs="Times New Roman"/>
          <w:bCs/>
          <w:kern w:val="0"/>
          <w:sz w:val="24"/>
          <w:szCs w:val="24"/>
          <w:lang w:eastAsia="pt-BR"/>
          <w14:ligatures w14:val="none"/>
        </w:rPr>
        <w:t>indústria nordestina é majoritariamente impulsionada pelas indústrias de transformação</w:t>
      </w:r>
      <w:r w:rsidRPr="00B95A06">
        <w:rPr>
          <w:rFonts w:ascii="Times New Roman" w:eastAsia="Times New Roman" w:hAnsi="Times New Roman" w:cs="Times New Roman"/>
          <w:kern w:val="0"/>
          <w:sz w:val="24"/>
          <w:szCs w:val="24"/>
          <w:lang w:eastAsia="pt-BR"/>
          <w14:ligatures w14:val="none"/>
        </w:rPr>
        <w:t xml:space="preserve">, seguidas pelo setor da construção, enquanto os demais subsetores apresentam impacto limitado. A </w:t>
      </w:r>
      <w:r w:rsidRPr="00B95A06">
        <w:rPr>
          <w:rFonts w:ascii="Times New Roman" w:eastAsia="Times New Roman" w:hAnsi="Times New Roman" w:cs="Times New Roman"/>
          <w:bCs/>
          <w:kern w:val="0"/>
          <w:sz w:val="24"/>
          <w:szCs w:val="24"/>
          <w:lang w:eastAsia="pt-BR"/>
          <w14:ligatures w14:val="none"/>
        </w:rPr>
        <w:t>queda na participação do subsetor dominante a partir de 2018</w:t>
      </w:r>
      <w:r w:rsidRPr="00B95A06">
        <w:rPr>
          <w:rFonts w:ascii="Times New Roman" w:eastAsia="Times New Roman" w:hAnsi="Times New Roman" w:cs="Times New Roman"/>
          <w:kern w:val="0"/>
          <w:sz w:val="24"/>
          <w:szCs w:val="24"/>
          <w:lang w:eastAsia="pt-BR"/>
          <w14:ligatures w14:val="none"/>
        </w:rPr>
        <w:t xml:space="preserve"> merece atenção especial, pois pode sinalizar </w:t>
      </w:r>
      <w:r w:rsidRPr="00B95A06">
        <w:rPr>
          <w:rFonts w:ascii="Times New Roman" w:eastAsia="Times New Roman" w:hAnsi="Times New Roman" w:cs="Times New Roman"/>
          <w:bCs/>
          <w:kern w:val="0"/>
          <w:sz w:val="24"/>
          <w:szCs w:val="24"/>
          <w:lang w:eastAsia="pt-BR"/>
          <w14:ligatures w14:val="none"/>
        </w:rPr>
        <w:t>fragilidades ou transformações estruturais</w:t>
      </w:r>
      <w:r w:rsidRPr="00B95A06">
        <w:rPr>
          <w:rFonts w:ascii="Times New Roman" w:eastAsia="Times New Roman" w:hAnsi="Times New Roman" w:cs="Times New Roman"/>
          <w:kern w:val="0"/>
          <w:sz w:val="24"/>
          <w:szCs w:val="24"/>
          <w:lang w:eastAsia="pt-BR"/>
          <w14:ligatures w14:val="none"/>
        </w:rPr>
        <w:t xml:space="preserve"> na base produtiva regional.</w:t>
      </w:r>
    </w:p>
    <w:p w14:paraId="425FD68D" w14:textId="77777777" w:rsidR="001B1174" w:rsidRPr="002F68A0" w:rsidRDefault="001B1174" w:rsidP="00377E23">
      <w:pPr>
        <w:spacing w:after="0" w:line="360" w:lineRule="auto"/>
        <w:contextualSpacing/>
        <w:jc w:val="both"/>
        <w:rPr>
          <w:rFonts w:ascii="Times New Roman" w:eastAsia="Times New Roman" w:hAnsi="Times New Roman" w:cs="Times New Roman"/>
          <w:sz w:val="24"/>
          <w:szCs w:val="24"/>
        </w:rPr>
      </w:pPr>
    </w:p>
    <w:p w14:paraId="648ECAC5" w14:textId="13393CD4" w:rsidR="00A5489A" w:rsidRDefault="001B1174" w:rsidP="00377E23">
      <w:pPr>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F</w:t>
      </w:r>
      <w:r w:rsidR="0002784E">
        <w:rPr>
          <w:rFonts w:ascii="Times New Roman" w:eastAsia="Times New Roman" w:hAnsi="Times New Roman" w:cs="Times New Roman"/>
          <w:sz w:val="24"/>
          <w:szCs w:val="24"/>
        </w:rPr>
        <w:t>igura 1</w:t>
      </w:r>
      <w:r w:rsidRPr="002F68A0">
        <w:rPr>
          <w:rFonts w:ascii="Times New Roman" w:eastAsia="Times New Roman" w:hAnsi="Times New Roman" w:cs="Times New Roman"/>
          <w:sz w:val="24"/>
          <w:szCs w:val="24"/>
        </w:rPr>
        <w:t xml:space="preserve"> - Participação por setor no </w:t>
      </w:r>
      <w:r w:rsidR="00734A37" w:rsidRPr="002F68A0">
        <w:rPr>
          <w:rFonts w:ascii="Times New Roman" w:eastAsia="Times New Roman" w:hAnsi="Times New Roman" w:cs="Times New Roman"/>
          <w:sz w:val="24"/>
          <w:szCs w:val="24"/>
        </w:rPr>
        <w:t>Valor Adicionado Bruto</w:t>
      </w:r>
      <w:r w:rsidR="00734A37">
        <w:rPr>
          <w:rFonts w:ascii="Times New Roman" w:eastAsia="Times New Roman" w:hAnsi="Times New Roman" w:cs="Times New Roman"/>
          <w:sz w:val="24"/>
          <w:szCs w:val="24"/>
        </w:rPr>
        <w:t xml:space="preserve"> da Produção (VAB)</w:t>
      </w:r>
      <w:r w:rsidRPr="002F68A0">
        <w:rPr>
          <w:rFonts w:ascii="Times New Roman" w:eastAsia="Times New Roman" w:hAnsi="Times New Roman" w:cs="Times New Roman"/>
          <w:sz w:val="24"/>
          <w:szCs w:val="24"/>
        </w:rPr>
        <w:t xml:space="preserve"> Nordeste </w:t>
      </w:r>
    </w:p>
    <w:p w14:paraId="71B6B8FC" w14:textId="5A801171" w:rsidR="001B1174" w:rsidRPr="002F68A0" w:rsidRDefault="00A5489A" w:rsidP="00377E23">
      <w:pPr>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B1174" w:rsidRPr="002F68A0">
        <w:rPr>
          <w:rFonts w:ascii="Times New Roman" w:eastAsia="Times New Roman" w:hAnsi="Times New Roman" w:cs="Times New Roman"/>
          <w:sz w:val="24"/>
          <w:szCs w:val="24"/>
        </w:rPr>
        <w:t>2016-2022</w:t>
      </w:r>
    </w:p>
    <w:p w14:paraId="09E38C9E" w14:textId="77777777" w:rsidR="001B1174" w:rsidRPr="002F68A0" w:rsidRDefault="001B1174" w:rsidP="00377E23">
      <w:pPr>
        <w:spacing w:after="0" w:line="240" w:lineRule="auto"/>
        <w:contextualSpacing/>
        <w:jc w:val="both"/>
        <w:rPr>
          <w:rFonts w:ascii="Times New Roman" w:eastAsia="Times New Roman" w:hAnsi="Times New Roman" w:cs="Times New Roman"/>
          <w:sz w:val="24"/>
          <w:szCs w:val="24"/>
        </w:rPr>
      </w:pPr>
      <w:r w:rsidRPr="002F68A0">
        <w:rPr>
          <w:rFonts w:ascii="Times New Roman" w:hAnsi="Times New Roman" w:cs="Times New Roman"/>
          <w:noProof/>
          <w:sz w:val="24"/>
          <w:szCs w:val="24"/>
          <w:lang w:eastAsia="pt-BR"/>
        </w:rPr>
        <w:drawing>
          <wp:inline distT="0" distB="0" distL="0" distR="0" wp14:anchorId="17F3A9BA" wp14:editId="0258D43C">
            <wp:extent cx="5638800" cy="3524250"/>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96409E" w14:textId="77777777" w:rsidR="001B1174" w:rsidRPr="002F68A0" w:rsidRDefault="001B1174" w:rsidP="00377E23">
      <w:pPr>
        <w:shd w:val="clear" w:color="auto" w:fill="FFFFFF"/>
        <w:spacing w:after="0" w:line="240" w:lineRule="auto"/>
        <w:ind w:firstLine="720"/>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Fonte: IBGE, 2025</w:t>
      </w:r>
    </w:p>
    <w:p w14:paraId="1439E895" w14:textId="77777777" w:rsidR="001B1174" w:rsidRPr="002F68A0" w:rsidRDefault="001B1174" w:rsidP="00377E23">
      <w:pPr>
        <w:shd w:val="clear" w:color="auto" w:fill="FFFFFF"/>
        <w:spacing w:after="0" w:line="429" w:lineRule="atLeast"/>
        <w:ind w:firstLine="720"/>
        <w:contextualSpacing/>
        <w:jc w:val="both"/>
        <w:rPr>
          <w:rFonts w:ascii="Times New Roman" w:eastAsia="Times New Roman" w:hAnsi="Times New Roman" w:cs="Times New Roman"/>
          <w:sz w:val="24"/>
          <w:szCs w:val="24"/>
        </w:rPr>
      </w:pPr>
    </w:p>
    <w:p w14:paraId="0C9C6749" w14:textId="5DF3AB45" w:rsidR="001B1174" w:rsidRPr="002F68A0" w:rsidRDefault="0002784E" w:rsidP="00377E23">
      <w:pPr>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figura 2</w:t>
      </w:r>
      <w:r w:rsidR="001B1174" w:rsidRPr="002F68A0">
        <w:rPr>
          <w:rFonts w:ascii="Times New Roman" w:eastAsia="Times New Roman" w:hAnsi="Times New Roman" w:cs="Times New Roman"/>
          <w:sz w:val="24"/>
          <w:szCs w:val="24"/>
        </w:rPr>
        <w:t xml:space="preserve"> apresenta a evolução da participação dos subs</w:t>
      </w:r>
      <w:r w:rsidR="007A0DB2">
        <w:rPr>
          <w:rFonts w:ascii="Times New Roman" w:eastAsia="Times New Roman" w:hAnsi="Times New Roman" w:cs="Times New Roman"/>
          <w:sz w:val="24"/>
          <w:szCs w:val="24"/>
        </w:rPr>
        <w:t>etores</w:t>
      </w:r>
      <w:r w:rsidR="001B1174" w:rsidRPr="002F68A0">
        <w:rPr>
          <w:rFonts w:ascii="Times New Roman" w:eastAsia="Times New Roman" w:hAnsi="Times New Roman" w:cs="Times New Roman"/>
          <w:sz w:val="24"/>
          <w:szCs w:val="24"/>
        </w:rPr>
        <w:t xml:space="preserve"> industriais no valor adicionado bruto da </w:t>
      </w:r>
      <w:r w:rsidR="005342DC">
        <w:rPr>
          <w:rFonts w:ascii="Times New Roman" w:eastAsia="Times New Roman" w:hAnsi="Times New Roman" w:cs="Times New Roman"/>
          <w:sz w:val="24"/>
          <w:szCs w:val="24"/>
        </w:rPr>
        <w:t>Paraíba</w:t>
      </w:r>
      <w:r w:rsidR="001B1174" w:rsidRPr="002F68A0">
        <w:rPr>
          <w:rFonts w:ascii="Times New Roman" w:eastAsia="Times New Roman" w:hAnsi="Times New Roman" w:cs="Times New Roman"/>
          <w:sz w:val="24"/>
          <w:szCs w:val="24"/>
        </w:rPr>
        <w:t xml:space="preserve"> entre 2016 e 2022, revelando um cenário de concentração </w:t>
      </w:r>
      <w:r w:rsidR="001B1174" w:rsidRPr="002F68A0">
        <w:rPr>
          <w:rFonts w:ascii="Times New Roman" w:eastAsia="Times New Roman" w:hAnsi="Times New Roman" w:cs="Times New Roman"/>
          <w:sz w:val="24"/>
          <w:szCs w:val="24"/>
        </w:rPr>
        <w:lastRenderedPageBreak/>
        <w:t>produtiva e transformações setoriais. Ao longo do período, as indústrias de transformação se consolidaram como o subsetor dominante, respondendo por 60</w:t>
      </w:r>
      <w:r w:rsidR="00C929A4">
        <w:rPr>
          <w:rFonts w:ascii="Times New Roman" w:eastAsia="Times New Roman" w:hAnsi="Times New Roman" w:cs="Times New Roman"/>
          <w:sz w:val="24"/>
          <w:szCs w:val="24"/>
        </w:rPr>
        <w:t>%</w:t>
      </w:r>
      <w:r w:rsidR="001B1174" w:rsidRPr="002F68A0">
        <w:rPr>
          <w:rFonts w:ascii="Times New Roman" w:eastAsia="Times New Roman" w:hAnsi="Times New Roman" w:cs="Times New Roman"/>
          <w:sz w:val="24"/>
          <w:szCs w:val="24"/>
        </w:rPr>
        <w:t xml:space="preserve"> a 70% do VAB industrial estadual essa supremacia reflete o peso da atividade de atividades como polo têxtil agreste, a produção de alimentos e bebidas e o segmento de minerais não metálicos (como cerâmicas e cimento). Nota-se, porém, uma suave erosão na participação desse subsetor em 2020, possivelmente associada a retração de investimentos e os efeitos da pandemia na demanda. </w:t>
      </w:r>
    </w:p>
    <w:p w14:paraId="6733161D" w14:textId="77777777" w:rsidR="001B1174" w:rsidRPr="002F68A0" w:rsidRDefault="001B1174" w:rsidP="00377E23">
      <w:pPr>
        <w:spacing w:after="0" w:line="360" w:lineRule="auto"/>
        <w:ind w:firstLine="720"/>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 xml:space="preserve">O subsetor da construção civil apresenta comportamento cíclico. A recuperação observada em 2020 sugere uma resposta positiva aos programas habitacionais estaduais e federais, além de investimento em infraestrutura e logística. </w:t>
      </w:r>
    </w:p>
    <w:p w14:paraId="2DE43206" w14:textId="6B82BC25" w:rsidR="001B1174" w:rsidRPr="002F68A0" w:rsidRDefault="001B1174" w:rsidP="00377E23">
      <w:pPr>
        <w:spacing w:after="0" w:line="360" w:lineRule="auto"/>
        <w:ind w:firstLine="720"/>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De forma preocupante, as indústrias extrativas mantiveram pa</w:t>
      </w:r>
      <w:r w:rsidR="007A0DB2">
        <w:rPr>
          <w:rFonts w:ascii="Times New Roman" w:eastAsia="Times New Roman" w:hAnsi="Times New Roman" w:cs="Times New Roman"/>
          <w:sz w:val="24"/>
          <w:szCs w:val="24"/>
        </w:rPr>
        <w:t xml:space="preserve">rticipação residual abaixo de </w:t>
      </w:r>
      <w:r w:rsidRPr="002F68A0">
        <w:rPr>
          <w:rFonts w:ascii="Times New Roman" w:eastAsia="Times New Roman" w:hAnsi="Times New Roman" w:cs="Times New Roman"/>
          <w:sz w:val="24"/>
          <w:szCs w:val="24"/>
        </w:rPr>
        <w:t>5%, revelando a subtilização do potencial mineral do Estado. Essa baixa representatividade contrasta com desempenho dos Estados vizinhos como Rio grande do Norte na extração de mineral.</w:t>
      </w:r>
    </w:p>
    <w:p w14:paraId="265FE1B4" w14:textId="77777777" w:rsidR="001B1174" w:rsidRPr="002F68A0" w:rsidRDefault="001B1174" w:rsidP="00377E23">
      <w:pPr>
        <w:spacing w:after="0" w:line="360" w:lineRule="auto"/>
        <w:contextualSpacing/>
        <w:jc w:val="both"/>
        <w:rPr>
          <w:rFonts w:ascii="Times New Roman" w:eastAsia="Times New Roman" w:hAnsi="Times New Roman" w:cs="Times New Roman"/>
          <w:sz w:val="24"/>
          <w:szCs w:val="24"/>
        </w:rPr>
      </w:pPr>
    </w:p>
    <w:p w14:paraId="476281D8" w14:textId="7B05D454" w:rsidR="001B1174" w:rsidRPr="002F68A0" w:rsidRDefault="0002784E" w:rsidP="00377E23">
      <w:pPr>
        <w:spacing w:after="0" w:line="240" w:lineRule="auto"/>
        <w:ind w:left="993" w:hanging="99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2</w:t>
      </w:r>
      <w:r w:rsidR="001B1174" w:rsidRPr="002F68A0">
        <w:rPr>
          <w:rFonts w:ascii="Times New Roman" w:eastAsia="Times New Roman" w:hAnsi="Times New Roman" w:cs="Times New Roman"/>
          <w:sz w:val="24"/>
          <w:szCs w:val="24"/>
        </w:rPr>
        <w:t xml:space="preserve"> - Participação por setor no </w:t>
      </w:r>
      <w:r w:rsidR="00734A37" w:rsidRPr="002F68A0">
        <w:rPr>
          <w:rFonts w:ascii="Times New Roman" w:eastAsia="Times New Roman" w:hAnsi="Times New Roman" w:cs="Times New Roman"/>
          <w:sz w:val="24"/>
          <w:szCs w:val="24"/>
        </w:rPr>
        <w:t>Valor Adicionado Bruto</w:t>
      </w:r>
      <w:r w:rsidR="00734A37">
        <w:rPr>
          <w:rFonts w:ascii="Times New Roman" w:eastAsia="Times New Roman" w:hAnsi="Times New Roman" w:cs="Times New Roman"/>
          <w:sz w:val="24"/>
          <w:szCs w:val="24"/>
        </w:rPr>
        <w:t xml:space="preserve"> da Produção</w:t>
      </w:r>
      <w:r w:rsidR="007A0DB2">
        <w:rPr>
          <w:rFonts w:ascii="Times New Roman" w:eastAsia="Times New Roman" w:hAnsi="Times New Roman" w:cs="Times New Roman"/>
          <w:sz w:val="24"/>
          <w:szCs w:val="24"/>
        </w:rPr>
        <w:t xml:space="preserve"> (VAB)</w:t>
      </w:r>
      <w:r w:rsidR="00734A37">
        <w:rPr>
          <w:rFonts w:ascii="Times New Roman" w:eastAsia="Times New Roman" w:hAnsi="Times New Roman" w:cs="Times New Roman"/>
          <w:sz w:val="24"/>
          <w:szCs w:val="24"/>
        </w:rPr>
        <w:t xml:space="preserve"> </w:t>
      </w:r>
      <w:r w:rsidR="007A0DB2">
        <w:rPr>
          <w:rFonts w:ascii="Times New Roman" w:eastAsia="Times New Roman" w:hAnsi="Times New Roman" w:cs="Times New Roman"/>
          <w:sz w:val="24"/>
          <w:szCs w:val="24"/>
        </w:rPr>
        <w:t>no estado da Paraíba</w:t>
      </w:r>
      <w:r w:rsidR="001B1174" w:rsidRPr="002F68A0">
        <w:rPr>
          <w:rFonts w:ascii="Times New Roman" w:eastAsia="Times New Roman" w:hAnsi="Times New Roman" w:cs="Times New Roman"/>
          <w:sz w:val="24"/>
          <w:szCs w:val="24"/>
        </w:rPr>
        <w:t>, 2016-2022</w:t>
      </w:r>
    </w:p>
    <w:p w14:paraId="291C11F0" w14:textId="1C5F759B" w:rsidR="001B1174" w:rsidRPr="002F68A0" w:rsidRDefault="003E5507" w:rsidP="00377E23">
      <w:pPr>
        <w:spacing w:after="0" w:line="360" w:lineRule="auto"/>
        <w:contextualSpacing/>
        <w:jc w:val="both"/>
        <w:rPr>
          <w:rFonts w:ascii="Times New Roman" w:eastAsia="Times New Roman" w:hAnsi="Times New Roman" w:cs="Times New Roman"/>
          <w:sz w:val="24"/>
          <w:szCs w:val="24"/>
          <w:highlight w:val="white"/>
        </w:rPr>
      </w:pPr>
      <w:r>
        <w:rPr>
          <w:noProof/>
          <w:lang w:eastAsia="pt-BR"/>
        </w:rPr>
        <w:drawing>
          <wp:inline distT="0" distB="0" distL="0" distR="0" wp14:anchorId="152F73A8" wp14:editId="5874BE49">
            <wp:extent cx="5612130" cy="3493770"/>
            <wp:effectExtent l="0" t="0" r="26670" b="1143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E8EF31" w14:textId="77777777" w:rsidR="001B1174" w:rsidRPr="002F68A0" w:rsidRDefault="001B1174" w:rsidP="00377E23">
      <w:pPr>
        <w:shd w:val="clear" w:color="auto" w:fill="FFFFFF"/>
        <w:spacing w:after="0" w:line="240" w:lineRule="auto"/>
        <w:ind w:firstLine="720"/>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Fonte: IBGE, 2025</w:t>
      </w:r>
    </w:p>
    <w:p w14:paraId="672CFDD2" w14:textId="77777777" w:rsidR="001B1174" w:rsidRPr="00E533DB" w:rsidRDefault="001B1174" w:rsidP="00377E23">
      <w:pPr>
        <w:spacing w:after="0" w:line="360" w:lineRule="auto"/>
        <w:ind w:firstLine="708"/>
        <w:contextualSpacing/>
        <w:jc w:val="both"/>
        <w:rPr>
          <w:rFonts w:ascii="Times New Roman" w:eastAsia="Times New Roman" w:hAnsi="Times New Roman" w:cs="Times New Roman"/>
          <w:sz w:val="24"/>
          <w:szCs w:val="24"/>
          <w:highlight w:val="white"/>
        </w:rPr>
      </w:pPr>
    </w:p>
    <w:p w14:paraId="1034E91E" w14:textId="7A3F8E19" w:rsidR="00E533DB" w:rsidRPr="00E533DB" w:rsidRDefault="00E533DB" w:rsidP="00377E23">
      <w:pPr>
        <w:spacing w:after="0" w:line="360" w:lineRule="auto"/>
        <w:ind w:firstLine="708"/>
        <w:contextualSpacing/>
        <w:jc w:val="both"/>
        <w:rPr>
          <w:rFonts w:ascii="Times New Roman" w:eastAsia="Times New Roman" w:hAnsi="Times New Roman" w:cs="Times New Roman"/>
          <w:kern w:val="0"/>
          <w:sz w:val="24"/>
          <w:szCs w:val="24"/>
          <w:lang w:eastAsia="pt-BR"/>
          <w14:ligatures w14:val="none"/>
        </w:rPr>
      </w:pPr>
      <w:r w:rsidRPr="00E533DB">
        <w:rPr>
          <w:rFonts w:ascii="Times New Roman" w:eastAsia="Times New Roman" w:hAnsi="Times New Roman" w:cs="Times New Roman"/>
          <w:kern w:val="0"/>
          <w:sz w:val="24"/>
          <w:szCs w:val="24"/>
          <w:lang w:eastAsia="pt-BR"/>
          <w14:ligatures w14:val="none"/>
        </w:rPr>
        <w:t xml:space="preserve">A Tabela 1 apresenta a evolução do Produto Interno Bruto (PIB), abrangendo o Brasil, a região Nordeste e suas respectivas unidades federativas, entre 2016 e 2022. Os dados </w:t>
      </w:r>
      <w:r w:rsidRPr="00E533DB">
        <w:rPr>
          <w:rFonts w:ascii="Times New Roman" w:eastAsia="Times New Roman" w:hAnsi="Times New Roman" w:cs="Times New Roman"/>
          <w:kern w:val="0"/>
          <w:sz w:val="24"/>
          <w:szCs w:val="24"/>
          <w:lang w:eastAsia="pt-BR"/>
          <w14:ligatures w14:val="none"/>
        </w:rPr>
        <w:lastRenderedPageBreak/>
        <w:t xml:space="preserve">revelam que a </w:t>
      </w:r>
      <w:r w:rsidR="005342DC">
        <w:rPr>
          <w:rFonts w:ascii="Times New Roman" w:eastAsia="Times New Roman" w:hAnsi="Times New Roman" w:cs="Times New Roman"/>
          <w:bCs/>
          <w:kern w:val="0"/>
          <w:sz w:val="24"/>
          <w:szCs w:val="24"/>
          <w:lang w:eastAsia="pt-BR"/>
          <w14:ligatures w14:val="none"/>
        </w:rPr>
        <w:t>Paraíba</w:t>
      </w:r>
      <w:r w:rsidRPr="00E533DB">
        <w:rPr>
          <w:rFonts w:ascii="Times New Roman" w:eastAsia="Times New Roman" w:hAnsi="Times New Roman" w:cs="Times New Roman"/>
          <w:kern w:val="0"/>
          <w:sz w:val="24"/>
          <w:szCs w:val="24"/>
          <w:lang w:eastAsia="pt-BR"/>
          <w14:ligatures w14:val="none"/>
        </w:rPr>
        <w:t xml:space="preserve"> vivenciou um ciclo de </w:t>
      </w:r>
      <w:r w:rsidRPr="00E533DB">
        <w:rPr>
          <w:rFonts w:ascii="Times New Roman" w:eastAsia="Times New Roman" w:hAnsi="Times New Roman" w:cs="Times New Roman"/>
          <w:bCs/>
          <w:kern w:val="0"/>
          <w:sz w:val="24"/>
          <w:szCs w:val="24"/>
          <w:lang w:eastAsia="pt-BR"/>
          <w14:ligatures w14:val="none"/>
        </w:rPr>
        <w:t>expansão econômica consistente</w:t>
      </w:r>
      <w:r w:rsidRPr="00E533DB">
        <w:rPr>
          <w:rFonts w:ascii="Times New Roman" w:eastAsia="Times New Roman" w:hAnsi="Times New Roman" w:cs="Times New Roman"/>
          <w:kern w:val="0"/>
          <w:sz w:val="24"/>
          <w:szCs w:val="24"/>
          <w:lang w:eastAsia="pt-BR"/>
          <w14:ligatures w14:val="none"/>
        </w:rPr>
        <w:t xml:space="preserve">, demonstrando </w:t>
      </w:r>
      <w:r w:rsidRPr="00E533DB">
        <w:rPr>
          <w:rFonts w:ascii="Times New Roman" w:eastAsia="Times New Roman" w:hAnsi="Times New Roman" w:cs="Times New Roman"/>
          <w:bCs/>
          <w:kern w:val="0"/>
          <w:sz w:val="24"/>
          <w:szCs w:val="24"/>
          <w:lang w:eastAsia="pt-BR"/>
          <w14:ligatures w14:val="none"/>
        </w:rPr>
        <w:t>resiliência frente aos choques externos</w:t>
      </w:r>
      <w:r w:rsidRPr="00E533DB">
        <w:rPr>
          <w:rFonts w:ascii="Times New Roman" w:eastAsia="Times New Roman" w:hAnsi="Times New Roman" w:cs="Times New Roman"/>
          <w:kern w:val="0"/>
          <w:sz w:val="24"/>
          <w:szCs w:val="24"/>
          <w:lang w:eastAsia="pt-BR"/>
          <w14:ligatures w14:val="none"/>
        </w:rPr>
        <w:t xml:space="preserve">, com destaque para a </w:t>
      </w:r>
      <w:r w:rsidRPr="00E533DB">
        <w:rPr>
          <w:rFonts w:ascii="Times New Roman" w:eastAsia="Times New Roman" w:hAnsi="Times New Roman" w:cs="Times New Roman"/>
          <w:bCs/>
          <w:kern w:val="0"/>
          <w:sz w:val="24"/>
          <w:szCs w:val="24"/>
          <w:lang w:eastAsia="pt-BR"/>
          <w14:ligatures w14:val="none"/>
        </w:rPr>
        <w:t>recuperação no pós-pandemia</w:t>
      </w:r>
      <w:r w:rsidRPr="00E533DB">
        <w:rPr>
          <w:rFonts w:ascii="Times New Roman" w:eastAsia="Times New Roman" w:hAnsi="Times New Roman" w:cs="Times New Roman"/>
          <w:kern w:val="0"/>
          <w:sz w:val="24"/>
          <w:szCs w:val="24"/>
          <w:lang w:eastAsia="pt-BR"/>
          <w14:ligatures w14:val="none"/>
        </w:rPr>
        <w:t>.</w:t>
      </w:r>
    </w:p>
    <w:p w14:paraId="01AECF2C" w14:textId="4E10B0BA" w:rsidR="007664D6" w:rsidRDefault="00E533DB" w:rsidP="00377E23">
      <w:pPr>
        <w:spacing w:after="0" w:line="360" w:lineRule="auto"/>
        <w:ind w:firstLine="709"/>
        <w:contextualSpacing/>
        <w:jc w:val="both"/>
        <w:rPr>
          <w:rFonts w:ascii="Times New Roman" w:eastAsia="Times New Roman" w:hAnsi="Times New Roman" w:cs="Times New Roman"/>
          <w:kern w:val="0"/>
          <w:sz w:val="24"/>
          <w:szCs w:val="24"/>
          <w:lang w:eastAsia="pt-BR"/>
          <w14:ligatures w14:val="none"/>
        </w:rPr>
      </w:pPr>
      <w:r w:rsidRPr="00E533DB">
        <w:rPr>
          <w:rFonts w:ascii="Times New Roman" w:eastAsia="Times New Roman" w:hAnsi="Times New Roman" w:cs="Times New Roman"/>
          <w:kern w:val="0"/>
          <w:sz w:val="24"/>
          <w:szCs w:val="24"/>
          <w:lang w:eastAsia="pt-BR"/>
          <w14:ligatures w14:val="none"/>
        </w:rPr>
        <w:t xml:space="preserve">Entre 2016 e 2022, o PIB do </w:t>
      </w:r>
      <w:r w:rsidRPr="00E533DB">
        <w:rPr>
          <w:rFonts w:ascii="Times New Roman" w:eastAsia="Times New Roman" w:hAnsi="Times New Roman" w:cs="Times New Roman"/>
          <w:bCs/>
          <w:kern w:val="0"/>
          <w:sz w:val="24"/>
          <w:szCs w:val="24"/>
          <w:lang w:eastAsia="pt-BR"/>
          <w14:ligatures w14:val="none"/>
        </w:rPr>
        <w:t>Nordeste</w:t>
      </w:r>
      <w:r w:rsidRPr="00E533DB">
        <w:rPr>
          <w:rFonts w:ascii="Times New Roman" w:eastAsia="Times New Roman" w:hAnsi="Times New Roman" w:cs="Times New Roman"/>
          <w:kern w:val="0"/>
          <w:sz w:val="24"/>
          <w:szCs w:val="24"/>
          <w:lang w:eastAsia="pt-BR"/>
          <w14:ligatures w14:val="none"/>
        </w:rPr>
        <w:t xml:space="preserve"> cresceu de R$ 898,4 bilhões para aproximadamente R$ 1,02 trilhão em valores reais — uma </w:t>
      </w:r>
      <w:r w:rsidRPr="00E533DB">
        <w:rPr>
          <w:rFonts w:ascii="Times New Roman" w:eastAsia="Times New Roman" w:hAnsi="Times New Roman" w:cs="Times New Roman"/>
          <w:bCs/>
          <w:kern w:val="0"/>
          <w:sz w:val="24"/>
          <w:szCs w:val="24"/>
          <w:lang w:eastAsia="pt-BR"/>
          <w14:ligatures w14:val="none"/>
        </w:rPr>
        <w:t>expansão de 13,9%</w:t>
      </w:r>
      <w:r w:rsidRPr="00E533DB">
        <w:rPr>
          <w:rFonts w:ascii="Times New Roman" w:eastAsia="Times New Roman" w:hAnsi="Times New Roman" w:cs="Times New Roman"/>
          <w:kern w:val="0"/>
          <w:sz w:val="24"/>
          <w:szCs w:val="24"/>
          <w:lang w:eastAsia="pt-BR"/>
          <w14:ligatures w14:val="none"/>
        </w:rPr>
        <w:t xml:space="preserve">, inferior à média nacional no mesmo período (18,6%). </w:t>
      </w:r>
      <w:r w:rsidRPr="00E533DB">
        <w:rPr>
          <w:rFonts w:ascii="Times New Roman" w:eastAsia="Times New Roman" w:hAnsi="Times New Roman" w:cs="Times New Roman"/>
          <w:bCs/>
          <w:kern w:val="0"/>
          <w:sz w:val="24"/>
          <w:szCs w:val="24"/>
          <w:lang w:eastAsia="pt-BR"/>
          <w14:ligatures w14:val="none"/>
        </w:rPr>
        <w:t>Maranhão</w:t>
      </w:r>
      <w:r w:rsidRPr="00E533DB">
        <w:rPr>
          <w:rFonts w:ascii="Times New Roman" w:eastAsia="Times New Roman" w:hAnsi="Times New Roman" w:cs="Times New Roman"/>
          <w:kern w:val="0"/>
          <w:sz w:val="24"/>
          <w:szCs w:val="24"/>
          <w:lang w:eastAsia="pt-BR"/>
          <w14:ligatures w14:val="none"/>
        </w:rPr>
        <w:t xml:space="preserve"> e </w:t>
      </w:r>
      <w:r w:rsidRPr="00E533DB">
        <w:rPr>
          <w:rFonts w:ascii="Times New Roman" w:eastAsia="Times New Roman" w:hAnsi="Times New Roman" w:cs="Times New Roman"/>
          <w:bCs/>
          <w:kern w:val="0"/>
          <w:sz w:val="24"/>
          <w:szCs w:val="24"/>
          <w:lang w:eastAsia="pt-BR"/>
          <w14:ligatures w14:val="none"/>
        </w:rPr>
        <w:t>Piauí</w:t>
      </w:r>
      <w:r w:rsidRPr="00E533DB">
        <w:rPr>
          <w:rFonts w:ascii="Times New Roman" w:eastAsia="Times New Roman" w:hAnsi="Times New Roman" w:cs="Times New Roman"/>
          <w:kern w:val="0"/>
          <w:sz w:val="24"/>
          <w:szCs w:val="24"/>
          <w:lang w:eastAsia="pt-BR"/>
          <w14:ligatures w14:val="none"/>
        </w:rPr>
        <w:t xml:space="preserve"> se destacaram, impulsionados por </w:t>
      </w:r>
      <w:r w:rsidRPr="00E533DB">
        <w:rPr>
          <w:rFonts w:ascii="Times New Roman" w:eastAsia="Times New Roman" w:hAnsi="Times New Roman" w:cs="Times New Roman"/>
          <w:bCs/>
          <w:kern w:val="0"/>
          <w:sz w:val="24"/>
          <w:szCs w:val="24"/>
          <w:lang w:eastAsia="pt-BR"/>
          <w14:ligatures w14:val="none"/>
        </w:rPr>
        <w:t>investimentos em agropecuária e energias renováveis</w:t>
      </w:r>
      <w:r w:rsidRPr="00E533DB">
        <w:rPr>
          <w:rFonts w:ascii="Times New Roman" w:eastAsia="Times New Roman" w:hAnsi="Times New Roman" w:cs="Times New Roman"/>
          <w:kern w:val="0"/>
          <w:sz w:val="24"/>
          <w:szCs w:val="24"/>
          <w:lang w:eastAsia="pt-BR"/>
          <w14:ligatures w14:val="none"/>
        </w:rPr>
        <w:t xml:space="preserve">, enquanto a </w:t>
      </w:r>
      <w:r w:rsidRPr="00E533DB">
        <w:rPr>
          <w:rFonts w:ascii="Times New Roman" w:eastAsia="Times New Roman" w:hAnsi="Times New Roman" w:cs="Times New Roman"/>
          <w:bCs/>
          <w:kern w:val="0"/>
          <w:sz w:val="24"/>
          <w:szCs w:val="24"/>
          <w:lang w:eastAsia="pt-BR"/>
          <w14:ligatures w14:val="none"/>
        </w:rPr>
        <w:t>Bahia manteve a liderança regional</w:t>
      </w:r>
      <w:r w:rsidRPr="00E533DB">
        <w:rPr>
          <w:rFonts w:ascii="Times New Roman" w:eastAsia="Times New Roman" w:hAnsi="Times New Roman" w:cs="Times New Roman"/>
          <w:kern w:val="0"/>
          <w:sz w:val="24"/>
          <w:szCs w:val="24"/>
          <w:lang w:eastAsia="pt-BR"/>
          <w14:ligatures w14:val="none"/>
        </w:rPr>
        <w:t xml:space="preserve"> com R$ 296,8 bilhões em 2022. </w:t>
      </w:r>
      <w:r w:rsidRPr="00E533DB">
        <w:rPr>
          <w:rFonts w:ascii="Times New Roman" w:eastAsia="Times New Roman" w:hAnsi="Times New Roman" w:cs="Times New Roman"/>
          <w:bCs/>
          <w:kern w:val="0"/>
          <w:sz w:val="24"/>
          <w:szCs w:val="24"/>
          <w:lang w:eastAsia="pt-BR"/>
          <w14:ligatures w14:val="none"/>
        </w:rPr>
        <w:t>Pernambuco</w:t>
      </w:r>
      <w:r w:rsidRPr="00E533DB">
        <w:rPr>
          <w:rFonts w:ascii="Times New Roman" w:eastAsia="Times New Roman" w:hAnsi="Times New Roman" w:cs="Times New Roman"/>
          <w:kern w:val="0"/>
          <w:sz w:val="24"/>
          <w:szCs w:val="24"/>
          <w:lang w:eastAsia="pt-BR"/>
          <w14:ligatures w14:val="none"/>
        </w:rPr>
        <w:t xml:space="preserve">, apesar de consolidar a segunda posição, apresentou crescimento mais moderado. A </w:t>
      </w:r>
      <w:r w:rsidR="005342DC">
        <w:rPr>
          <w:rFonts w:ascii="Times New Roman" w:eastAsia="Times New Roman" w:hAnsi="Times New Roman" w:cs="Times New Roman"/>
          <w:bCs/>
          <w:kern w:val="0"/>
          <w:sz w:val="24"/>
          <w:szCs w:val="24"/>
          <w:lang w:eastAsia="pt-BR"/>
          <w14:ligatures w14:val="none"/>
        </w:rPr>
        <w:t>Paraíba</w:t>
      </w:r>
      <w:r w:rsidRPr="00E533DB">
        <w:rPr>
          <w:rFonts w:ascii="Times New Roman" w:eastAsia="Times New Roman" w:hAnsi="Times New Roman" w:cs="Times New Roman"/>
          <w:kern w:val="0"/>
          <w:sz w:val="24"/>
          <w:szCs w:val="24"/>
          <w:lang w:eastAsia="pt-BR"/>
          <w14:ligatures w14:val="none"/>
        </w:rPr>
        <w:t xml:space="preserve"> evidenciou avanços contínuos em valores absolutos. Em contrapartida, </w:t>
      </w:r>
      <w:r w:rsidRPr="00E533DB">
        <w:rPr>
          <w:rFonts w:ascii="Times New Roman" w:eastAsia="Times New Roman" w:hAnsi="Times New Roman" w:cs="Times New Roman"/>
          <w:bCs/>
          <w:kern w:val="0"/>
          <w:sz w:val="24"/>
          <w:szCs w:val="24"/>
          <w:lang w:eastAsia="pt-BR"/>
          <w14:ligatures w14:val="none"/>
        </w:rPr>
        <w:t>Alagoas</w:t>
      </w:r>
      <w:r w:rsidRPr="00E533DB">
        <w:rPr>
          <w:rFonts w:ascii="Times New Roman" w:eastAsia="Times New Roman" w:hAnsi="Times New Roman" w:cs="Times New Roman"/>
          <w:kern w:val="0"/>
          <w:sz w:val="24"/>
          <w:szCs w:val="24"/>
          <w:lang w:eastAsia="pt-BR"/>
          <w14:ligatures w14:val="none"/>
        </w:rPr>
        <w:t xml:space="preserve"> foi o único estado a registrar </w:t>
      </w:r>
      <w:r w:rsidRPr="001F0AEA">
        <w:rPr>
          <w:rFonts w:ascii="Times New Roman" w:eastAsia="Times New Roman" w:hAnsi="Times New Roman" w:cs="Times New Roman"/>
          <w:kern w:val="0"/>
          <w:sz w:val="24"/>
          <w:szCs w:val="24"/>
          <w:lang w:eastAsia="pt-BR"/>
          <w14:ligatures w14:val="none"/>
        </w:rPr>
        <w:t xml:space="preserve">retração no ano de 2022 (-5,7% em relação a 2021), indicando </w:t>
      </w:r>
      <w:r w:rsidRPr="001F0AEA">
        <w:rPr>
          <w:rFonts w:ascii="Times New Roman" w:eastAsia="Times New Roman" w:hAnsi="Times New Roman" w:cs="Times New Roman"/>
          <w:bCs/>
          <w:kern w:val="0"/>
          <w:sz w:val="24"/>
          <w:szCs w:val="24"/>
          <w:lang w:eastAsia="pt-BR"/>
          <w14:ligatures w14:val="none"/>
        </w:rPr>
        <w:t>fragilidades setoriais persistentes</w:t>
      </w:r>
      <w:r w:rsidRPr="001F0AEA">
        <w:rPr>
          <w:rFonts w:ascii="Times New Roman" w:eastAsia="Times New Roman" w:hAnsi="Times New Roman" w:cs="Times New Roman"/>
          <w:kern w:val="0"/>
          <w:sz w:val="24"/>
          <w:szCs w:val="24"/>
          <w:lang w:eastAsia="pt-BR"/>
          <w14:ligatures w14:val="none"/>
        </w:rPr>
        <w:t>.</w:t>
      </w:r>
      <w:r w:rsidR="007664D6">
        <w:rPr>
          <w:rFonts w:ascii="Times New Roman" w:eastAsia="Times New Roman" w:hAnsi="Times New Roman" w:cs="Times New Roman"/>
          <w:kern w:val="0"/>
          <w:sz w:val="24"/>
          <w:szCs w:val="24"/>
          <w:lang w:eastAsia="pt-BR"/>
          <w14:ligatures w14:val="none"/>
        </w:rPr>
        <w:t xml:space="preserve"> Assim, a</w:t>
      </w:r>
      <w:r w:rsidRPr="001F0AEA">
        <w:rPr>
          <w:rFonts w:ascii="Times New Roman" w:eastAsia="Times New Roman" w:hAnsi="Times New Roman" w:cs="Times New Roman"/>
          <w:kern w:val="0"/>
          <w:sz w:val="24"/>
          <w:szCs w:val="24"/>
          <w:lang w:eastAsia="pt-BR"/>
          <w14:ligatures w14:val="none"/>
        </w:rPr>
        <w:t xml:space="preserve"> análise evidencia uma região em processo de </w:t>
      </w:r>
      <w:r w:rsidRPr="001F0AEA">
        <w:rPr>
          <w:rFonts w:ascii="Times New Roman" w:eastAsia="Times New Roman" w:hAnsi="Times New Roman" w:cs="Times New Roman"/>
          <w:bCs/>
          <w:kern w:val="0"/>
          <w:sz w:val="24"/>
          <w:szCs w:val="24"/>
          <w:lang w:eastAsia="pt-BR"/>
          <w14:ligatures w14:val="none"/>
        </w:rPr>
        <w:t>reconfiguração econômica</w:t>
      </w:r>
      <w:r w:rsidRPr="001F0AEA">
        <w:rPr>
          <w:rFonts w:ascii="Times New Roman" w:eastAsia="Times New Roman" w:hAnsi="Times New Roman" w:cs="Times New Roman"/>
          <w:kern w:val="0"/>
          <w:sz w:val="24"/>
          <w:szCs w:val="24"/>
          <w:lang w:eastAsia="pt-BR"/>
          <w14:ligatures w14:val="none"/>
        </w:rPr>
        <w:t xml:space="preserve">, com </w:t>
      </w:r>
      <w:r w:rsidRPr="001F0AEA">
        <w:rPr>
          <w:rFonts w:ascii="Times New Roman" w:eastAsia="Times New Roman" w:hAnsi="Times New Roman" w:cs="Times New Roman"/>
          <w:bCs/>
          <w:kern w:val="0"/>
          <w:sz w:val="24"/>
          <w:szCs w:val="24"/>
          <w:lang w:eastAsia="pt-BR"/>
          <w14:ligatures w14:val="none"/>
        </w:rPr>
        <w:t>novos polos produtivos emergindo</w:t>
      </w:r>
      <w:r w:rsidRPr="001F0AEA">
        <w:rPr>
          <w:rFonts w:ascii="Times New Roman" w:eastAsia="Times New Roman" w:hAnsi="Times New Roman" w:cs="Times New Roman"/>
          <w:kern w:val="0"/>
          <w:sz w:val="24"/>
          <w:szCs w:val="24"/>
          <w:lang w:eastAsia="pt-BR"/>
          <w14:ligatures w14:val="none"/>
        </w:rPr>
        <w:t xml:space="preserve"> e desafiando a hierarquia econômica tradicional. Ainda que estados menores tenham mostrado dinamismo expressivo, o Nordeste como um todo </w:t>
      </w:r>
      <w:r w:rsidRPr="001F0AEA">
        <w:rPr>
          <w:rFonts w:ascii="Times New Roman" w:eastAsia="Times New Roman" w:hAnsi="Times New Roman" w:cs="Times New Roman"/>
          <w:bCs/>
          <w:kern w:val="0"/>
          <w:sz w:val="24"/>
          <w:szCs w:val="24"/>
          <w:lang w:eastAsia="pt-BR"/>
          <w14:ligatures w14:val="none"/>
        </w:rPr>
        <w:t>cresceu abaixo da média nacional</w:t>
      </w:r>
      <w:r w:rsidRPr="001F0AEA">
        <w:rPr>
          <w:rFonts w:ascii="Times New Roman" w:eastAsia="Times New Roman" w:hAnsi="Times New Roman" w:cs="Times New Roman"/>
          <w:kern w:val="0"/>
          <w:sz w:val="24"/>
          <w:szCs w:val="24"/>
          <w:lang w:eastAsia="pt-BR"/>
          <w14:ligatures w14:val="none"/>
        </w:rPr>
        <w:t xml:space="preserve">, refletindo </w:t>
      </w:r>
      <w:r w:rsidRPr="001F0AEA">
        <w:rPr>
          <w:rFonts w:ascii="Times New Roman" w:eastAsia="Times New Roman" w:hAnsi="Times New Roman" w:cs="Times New Roman"/>
          <w:bCs/>
          <w:kern w:val="0"/>
          <w:sz w:val="24"/>
          <w:szCs w:val="24"/>
          <w:lang w:eastAsia="pt-BR"/>
          <w14:ligatures w14:val="none"/>
        </w:rPr>
        <w:t xml:space="preserve">desafios estruturais </w:t>
      </w:r>
      <w:r w:rsidRPr="001F0AEA">
        <w:rPr>
          <w:rFonts w:ascii="Times New Roman" w:eastAsia="Times New Roman" w:hAnsi="Times New Roman" w:cs="Times New Roman"/>
          <w:kern w:val="0"/>
          <w:sz w:val="24"/>
          <w:szCs w:val="24"/>
          <w:lang w:eastAsia="pt-BR"/>
          <w14:ligatures w14:val="none"/>
        </w:rPr>
        <w:t xml:space="preserve">para um desenvolvimento mais equilibrado. </w:t>
      </w:r>
    </w:p>
    <w:p w14:paraId="00B4EF88" w14:textId="6E77B5B3" w:rsidR="0025714C" w:rsidRPr="00533096" w:rsidRDefault="00474F6B" w:rsidP="00377E23">
      <w:pPr>
        <w:spacing w:after="0" w:line="360" w:lineRule="auto"/>
        <w:ind w:firstLine="709"/>
        <w:contextualSpacing/>
        <w:jc w:val="both"/>
        <w:rPr>
          <w:rFonts w:ascii="Times New Roman" w:hAnsi="Times New Roman" w:cs="Times New Roman"/>
          <w:sz w:val="24"/>
          <w:szCs w:val="24"/>
        </w:rPr>
      </w:pPr>
      <w:r w:rsidRPr="00533096">
        <w:rPr>
          <w:rFonts w:ascii="Times New Roman" w:hAnsi="Times New Roman" w:cs="Times New Roman"/>
          <w:sz w:val="24"/>
          <w:szCs w:val="24"/>
        </w:rPr>
        <w:t xml:space="preserve">A </w:t>
      </w:r>
      <w:r w:rsidR="005342DC">
        <w:rPr>
          <w:rFonts w:ascii="Times New Roman" w:hAnsi="Times New Roman" w:cs="Times New Roman"/>
          <w:sz w:val="24"/>
          <w:szCs w:val="24"/>
        </w:rPr>
        <w:t>Paraíba</w:t>
      </w:r>
      <w:r w:rsidRPr="00533096">
        <w:rPr>
          <w:rFonts w:ascii="Times New Roman" w:hAnsi="Times New Roman" w:cs="Times New Roman"/>
          <w:sz w:val="24"/>
          <w:szCs w:val="24"/>
        </w:rPr>
        <w:t xml:space="preserve"> apresentou um crescimento moderado, porém </w:t>
      </w:r>
      <w:r w:rsidRPr="00533096">
        <w:rPr>
          <w:rStyle w:val="Forte"/>
          <w:rFonts w:ascii="Times New Roman" w:hAnsi="Times New Roman" w:cs="Times New Roman"/>
          <w:b w:val="0"/>
          <w:sz w:val="24"/>
          <w:szCs w:val="24"/>
        </w:rPr>
        <w:t>consistente</w:t>
      </w:r>
      <w:r w:rsidRPr="00533096">
        <w:rPr>
          <w:rFonts w:ascii="Times New Roman" w:hAnsi="Times New Roman" w:cs="Times New Roman"/>
          <w:sz w:val="24"/>
          <w:szCs w:val="24"/>
        </w:rPr>
        <w:t xml:space="preserve">, do Produto Interno Bruto (PIB) a preços constantes de 2016. O estado passou de </w:t>
      </w:r>
      <w:r w:rsidRPr="00533096">
        <w:rPr>
          <w:rStyle w:val="Forte"/>
          <w:rFonts w:ascii="Times New Roman" w:hAnsi="Times New Roman" w:cs="Times New Roman"/>
          <w:b w:val="0"/>
          <w:sz w:val="24"/>
          <w:szCs w:val="24"/>
        </w:rPr>
        <w:t>R$ 59,1</w:t>
      </w:r>
      <w:r w:rsidRPr="00533096">
        <w:rPr>
          <w:rStyle w:val="Forte"/>
          <w:rFonts w:ascii="Times New Roman" w:hAnsi="Times New Roman" w:cs="Times New Roman"/>
          <w:sz w:val="24"/>
          <w:szCs w:val="24"/>
        </w:rPr>
        <w:t xml:space="preserve"> </w:t>
      </w:r>
      <w:r w:rsidRPr="00533096">
        <w:rPr>
          <w:rStyle w:val="Forte"/>
          <w:rFonts w:ascii="Times New Roman" w:hAnsi="Times New Roman" w:cs="Times New Roman"/>
          <w:b w:val="0"/>
          <w:sz w:val="24"/>
          <w:szCs w:val="24"/>
        </w:rPr>
        <w:t>bilhões</w:t>
      </w:r>
      <w:r w:rsidRPr="00533096">
        <w:rPr>
          <w:rFonts w:ascii="Times New Roman" w:hAnsi="Times New Roman" w:cs="Times New Roman"/>
          <w:sz w:val="24"/>
          <w:szCs w:val="24"/>
        </w:rPr>
        <w:t xml:space="preserve"> em 2016 para </w:t>
      </w:r>
      <w:r w:rsidRPr="00533096">
        <w:rPr>
          <w:rStyle w:val="Forte"/>
          <w:rFonts w:ascii="Times New Roman" w:hAnsi="Times New Roman" w:cs="Times New Roman"/>
          <w:b w:val="0"/>
          <w:sz w:val="24"/>
          <w:szCs w:val="24"/>
        </w:rPr>
        <w:t>R$ 63,5 bilhões</w:t>
      </w:r>
      <w:r w:rsidRPr="00533096">
        <w:rPr>
          <w:rFonts w:ascii="Times New Roman" w:hAnsi="Times New Roman" w:cs="Times New Roman"/>
          <w:sz w:val="24"/>
          <w:szCs w:val="24"/>
        </w:rPr>
        <w:t xml:space="preserve"> em 2022 — uma </w:t>
      </w:r>
      <w:r w:rsidRPr="00533096">
        <w:rPr>
          <w:rStyle w:val="Forte"/>
          <w:rFonts w:ascii="Times New Roman" w:hAnsi="Times New Roman" w:cs="Times New Roman"/>
          <w:b w:val="0"/>
          <w:sz w:val="24"/>
          <w:szCs w:val="24"/>
        </w:rPr>
        <w:t>alta de 7,4%</w:t>
      </w:r>
      <w:r w:rsidRPr="00533096">
        <w:rPr>
          <w:rFonts w:ascii="Times New Roman" w:hAnsi="Times New Roman" w:cs="Times New Roman"/>
          <w:sz w:val="24"/>
          <w:szCs w:val="24"/>
        </w:rPr>
        <w:t xml:space="preserve"> no período, em valores reais. Esse desempenho indica </w:t>
      </w:r>
      <w:r w:rsidRPr="00533096">
        <w:rPr>
          <w:rStyle w:val="Forte"/>
          <w:rFonts w:ascii="Times New Roman" w:hAnsi="Times New Roman" w:cs="Times New Roman"/>
          <w:b w:val="0"/>
          <w:sz w:val="24"/>
          <w:szCs w:val="24"/>
        </w:rPr>
        <w:t>resiliência e estabilidade econômica</w:t>
      </w:r>
      <w:r w:rsidRPr="00533096">
        <w:rPr>
          <w:rFonts w:ascii="Times New Roman" w:hAnsi="Times New Roman" w:cs="Times New Roman"/>
          <w:sz w:val="24"/>
          <w:szCs w:val="24"/>
        </w:rPr>
        <w:t xml:space="preserve">, especialmente </w:t>
      </w:r>
      <w:r w:rsidR="007664D6">
        <w:rPr>
          <w:rFonts w:ascii="Times New Roman" w:hAnsi="Times New Roman" w:cs="Times New Roman"/>
          <w:sz w:val="24"/>
          <w:szCs w:val="24"/>
        </w:rPr>
        <w:t>em</w:t>
      </w:r>
      <w:r w:rsidRPr="00533096">
        <w:rPr>
          <w:rFonts w:ascii="Times New Roman" w:hAnsi="Times New Roman" w:cs="Times New Roman"/>
          <w:sz w:val="24"/>
          <w:szCs w:val="24"/>
        </w:rPr>
        <w:t xml:space="preserve"> contexto </w:t>
      </w:r>
      <w:r w:rsidR="007664D6">
        <w:rPr>
          <w:rFonts w:ascii="Times New Roman" w:hAnsi="Times New Roman" w:cs="Times New Roman"/>
          <w:sz w:val="24"/>
          <w:szCs w:val="24"/>
        </w:rPr>
        <w:t>pandêmico</w:t>
      </w:r>
      <w:r w:rsidRPr="00533096">
        <w:rPr>
          <w:rFonts w:ascii="Times New Roman" w:hAnsi="Times New Roman" w:cs="Times New Roman"/>
          <w:sz w:val="24"/>
          <w:szCs w:val="24"/>
        </w:rPr>
        <w:t>.</w:t>
      </w:r>
    </w:p>
    <w:p w14:paraId="1A453D30" w14:textId="77777777" w:rsidR="00FB6E34" w:rsidRPr="00541D57" w:rsidRDefault="00FB6E34" w:rsidP="00377E23">
      <w:pPr>
        <w:spacing w:after="0" w:line="360" w:lineRule="auto"/>
        <w:contextualSpacing/>
        <w:jc w:val="both"/>
        <w:rPr>
          <w:rFonts w:ascii="Times New Roman" w:eastAsia="Open Sans" w:hAnsi="Times New Roman" w:cs="Times New Roman"/>
          <w:sz w:val="24"/>
          <w:szCs w:val="24"/>
        </w:rPr>
      </w:pPr>
    </w:p>
    <w:p w14:paraId="6D49181A" w14:textId="359E22DC" w:rsidR="00FB6E34" w:rsidRDefault="00E533DB" w:rsidP="00377E23">
      <w:pPr>
        <w:spacing w:after="0" w:line="240" w:lineRule="auto"/>
        <w:contextualSpacing/>
        <w:jc w:val="both"/>
        <w:rPr>
          <w:rFonts w:ascii="Times New Roman" w:hAnsi="Times New Roman" w:cs="Times New Roman"/>
          <w:sz w:val="24"/>
          <w:szCs w:val="24"/>
        </w:rPr>
      </w:pPr>
      <w:r w:rsidRPr="00541D57">
        <w:rPr>
          <w:rFonts w:ascii="Times New Roman" w:hAnsi="Times New Roman" w:cs="Times New Roman"/>
          <w:sz w:val="24"/>
          <w:szCs w:val="24"/>
        </w:rPr>
        <w:t>Tabela 1 – Produto Interno Br</w:t>
      </w:r>
      <w:r w:rsidR="008C6B62">
        <w:rPr>
          <w:rFonts w:ascii="Times New Roman" w:hAnsi="Times New Roman" w:cs="Times New Roman"/>
          <w:sz w:val="24"/>
          <w:szCs w:val="24"/>
        </w:rPr>
        <w:t>uto a preços constantes de 2016</w:t>
      </w:r>
      <w:r w:rsidRPr="00541D57">
        <w:rPr>
          <w:rFonts w:ascii="Times New Roman" w:hAnsi="Times New Roman" w:cs="Times New Roman"/>
          <w:sz w:val="24"/>
          <w:szCs w:val="24"/>
        </w:rPr>
        <w:t xml:space="preserve"> (em R$ milhões) – Brasil, </w:t>
      </w:r>
    </w:p>
    <w:p w14:paraId="1C7DB2DC" w14:textId="2A576DFA" w:rsidR="001B1174" w:rsidRPr="00541D57" w:rsidRDefault="00C70286" w:rsidP="00377E23">
      <w:pPr>
        <w:spacing w:after="0" w:line="240" w:lineRule="auto"/>
        <w:ind w:firstLine="708"/>
        <w:contextualSpacing/>
        <w:jc w:val="both"/>
        <w:rPr>
          <w:rFonts w:ascii="Times New Roman" w:eastAsia="Open Sans" w:hAnsi="Times New Roman" w:cs="Times New Roman"/>
          <w:sz w:val="24"/>
          <w:szCs w:val="24"/>
        </w:rPr>
      </w:pPr>
      <w:r>
        <w:rPr>
          <w:rFonts w:ascii="Times New Roman" w:hAnsi="Times New Roman" w:cs="Times New Roman"/>
          <w:sz w:val="24"/>
          <w:szCs w:val="24"/>
        </w:rPr>
        <w:t xml:space="preserve">      </w:t>
      </w:r>
      <w:r w:rsidR="00E533DB" w:rsidRPr="00541D57">
        <w:rPr>
          <w:rFonts w:ascii="Times New Roman" w:hAnsi="Times New Roman" w:cs="Times New Roman"/>
          <w:sz w:val="24"/>
          <w:szCs w:val="24"/>
        </w:rPr>
        <w:t>Nordeste e unidades federativas nordestinas, 2016–2022</w:t>
      </w:r>
    </w:p>
    <w:tbl>
      <w:tblPr>
        <w:tblW w:w="8140" w:type="dxa"/>
        <w:tblInd w:w="55" w:type="dxa"/>
        <w:tblCellMar>
          <w:left w:w="70" w:type="dxa"/>
          <w:right w:w="70" w:type="dxa"/>
        </w:tblCellMar>
        <w:tblLook w:val="0400" w:firstRow="0" w:lastRow="0" w:firstColumn="0" w:lastColumn="0" w:noHBand="0" w:noVBand="1"/>
      </w:tblPr>
      <w:tblGrid>
        <w:gridCol w:w="1701"/>
        <w:gridCol w:w="980"/>
        <w:gridCol w:w="980"/>
        <w:gridCol w:w="1180"/>
        <w:gridCol w:w="980"/>
        <w:gridCol w:w="980"/>
        <w:gridCol w:w="980"/>
        <w:gridCol w:w="980"/>
      </w:tblGrid>
      <w:tr w:rsidR="00FF7F93" w:rsidRPr="00FF7F93" w14:paraId="4F5296B4" w14:textId="77777777" w:rsidTr="001F0AEA">
        <w:trPr>
          <w:trHeight w:val="300"/>
        </w:trPr>
        <w:tc>
          <w:tcPr>
            <w:tcW w:w="1200" w:type="dxa"/>
            <w:tcBorders>
              <w:top w:val="single" w:sz="4" w:space="0" w:color="auto"/>
              <w:left w:val="nil"/>
              <w:bottom w:val="single" w:sz="4" w:space="0" w:color="auto"/>
              <w:right w:val="single" w:sz="4" w:space="0" w:color="auto"/>
            </w:tcBorders>
            <w:noWrap/>
            <w:vAlign w:val="bottom"/>
            <w:hideMark/>
          </w:tcPr>
          <w:p w14:paraId="29049465" w14:textId="77777777" w:rsidR="00FF7F93" w:rsidRPr="00FF7F93" w:rsidRDefault="00FF7F93" w:rsidP="00377E23">
            <w:pPr>
              <w:spacing w:after="0" w:line="240" w:lineRule="auto"/>
              <w:contextualSpacing/>
              <w:jc w:val="center"/>
              <w:rPr>
                <w:rFonts w:ascii="Times New Roman" w:eastAsia="Times New Roman" w:hAnsi="Times New Roman" w:cs="Times New Roman"/>
                <w:b/>
                <w:color w:val="000000"/>
                <w:kern w:val="0"/>
                <w:sz w:val="24"/>
                <w:szCs w:val="24"/>
                <w:lang w:eastAsia="pt-BR"/>
                <w14:ligatures w14:val="none"/>
              </w:rPr>
            </w:pPr>
            <w:r w:rsidRPr="00FF7F93">
              <w:rPr>
                <w:rFonts w:ascii="Times New Roman" w:eastAsia="Times New Roman" w:hAnsi="Times New Roman" w:cs="Times New Roman"/>
                <w:b/>
                <w:color w:val="000000"/>
                <w:kern w:val="0"/>
                <w:sz w:val="24"/>
                <w:szCs w:val="24"/>
                <w:lang w:eastAsia="pt-BR"/>
                <w14:ligatures w14:val="none"/>
              </w:rPr>
              <w:t>TERRITÓRIO</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FBDA136" w14:textId="77777777" w:rsidR="00FF7F93" w:rsidRPr="00FF7F93" w:rsidRDefault="00FF7F93" w:rsidP="00377E23">
            <w:pPr>
              <w:spacing w:after="0" w:line="240" w:lineRule="auto"/>
              <w:contextualSpacing/>
              <w:jc w:val="center"/>
              <w:rPr>
                <w:rFonts w:ascii="Times New Roman" w:eastAsia="Times New Roman" w:hAnsi="Times New Roman" w:cs="Times New Roman"/>
                <w:b/>
                <w:color w:val="000000"/>
                <w:kern w:val="0"/>
                <w:sz w:val="24"/>
                <w:szCs w:val="24"/>
                <w:lang w:eastAsia="pt-BR"/>
                <w14:ligatures w14:val="none"/>
              </w:rPr>
            </w:pPr>
            <w:r w:rsidRPr="00FF7F93">
              <w:rPr>
                <w:rFonts w:ascii="Times New Roman" w:eastAsia="Times New Roman" w:hAnsi="Times New Roman" w:cs="Times New Roman"/>
                <w:b/>
                <w:color w:val="000000"/>
                <w:kern w:val="0"/>
                <w:sz w:val="24"/>
                <w:szCs w:val="24"/>
                <w:lang w:eastAsia="pt-BR"/>
                <w14:ligatures w14:val="none"/>
              </w:rPr>
              <w:t>2016</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8DE6924" w14:textId="77777777" w:rsidR="00FF7F93" w:rsidRPr="00FF7F93" w:rsidRDefault="00FF7F93" w:rsidP="00377E23">
            <w:pPr>
              <w:spacing w:after="0" w:line="240" w:lineRule="auto"/>
              <w:contextualSpacing/>
              <w:jc w:val="center"/>
              <w:rPr>
                <w:rFonts w:ascii="Times New Roman" w:eastAsia="Times New Roman" w:hAnsi="Times New Roman" w:cs="Times New Roman"/>
                <w:b/>
                <w:color w:val="000000"/>
                <w:kern w:val="0"/>
                <w:sz w:val="24"/>
                <w:szCs w:val="24"/>
                <w:lang w:eastAsia="pt-BR"/>
                <w14:ligatures w14:val="none"/>
              </w:rPr>
            </w:pPr>
            <w:r w:rsidRPr="00FF7F93">
              <w:rPr>
                <w:rFonts w:ascii="Times New Roman" w:eastAsia="Times New Roman" w:hAnsi="Times New Roman" w:cs="Times New Roman"/>
                <w:b/>
                <w:color w:val="000000"/>
                <w:kern w:val="0"/>
                <w:sz w:val="24"/>
                <w:szCs w:val="24"/>
                <w:lang w:eastAsia="pt-BR"/>
                <w14:ligatures w14:val="none"/>
              </w:rPr>
              <w:t>2017</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2774395C" w14:textId="77777777" w:rsidR="00FF7F93" w:rsidRPr="00FF7F93" w:rsidRDefault="00FF7F93" w:rsidP="00377E23">
            <w:pPr>
              <w:spacing w:after="0" w:line="240" w:lineRule="auto"/>
              <w:contextualSpacing/>
              <w:jc w:val="center"/>
              <w:rPr>
                <w:rFonts w:ascii="Times New Roman" w:eastAsia="Times New Roman" w:hAnsi="Times New Roman" w:cs="Times New Roman"/>
                <w:b/>
                <w:color w:val="000000"/>
                <w:kern w:val="0"/>
                <w:sz w:val="24"/>
                <w:szCs w:val="24"/>
                <w:lang w:eastAsia="pt-BR"/>
                <w14:ligatures w14:val="none"/>
              </w:rPr>
            </w:pPr>
            <w:r w:rsidRPr="00FF7F93">
              <w:rPr>
                <w:rFonts w:ascii="Times New Roman" w:eastAsia="Times New Roman" w:hAnsi="Times New Roman" w:cs="Times New Roman"/>
                <w:b/>
                <w:color w:val="000000"/>
                <w:kern w:val="0"/>
                <w:sz w:val="24"/>
                <w:szCs w:val="24"/>
                <w:lang w:eastAsia="pt-BR"/>
                <w14:ligatures w14:val="none"/>
              </w:rPr>
              <w:t>2018</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0C94980" w14:textId="77777777" w:rsidR="00FF7F93" w:rsidRPr="00FF7F93" w:rsidRDefault="00FF7F93" w:rsidP="00377E23">
            <w:pPr>
              <w:spacing w:after="0" w:line="240" w:lineRule="auto"/>
              <w:contextualSpacing/>
              <w:jc w:val="center"/>
              <w:rPr>
                <w:rFonts w:ascii="Times New Roman" w:eastAsia="Times New Roman" w:hAnsi="Times New Roman" w:cs="Times New Roman"/>
                <w:b/>
                <w:color w:val="000000"/>
                <w:kern w:val="0"/>
                <w:sz w:val="24"/>
                <w:szCs w:val="24"/>
                <w:lang w:eastAsia="pt-BR"/>
                <w14:ligatures w14:val="none"/>
              </w:rPr>
            </w:pPr>
            <w:r w:rsidRPr="00FF7F93">
              <w:rPr>
                <w:rFonts w:ascii="Times New Roman" w:eastAsia="Times New Roman" w:hAnsi="Times New Roman" w:cs="Times New Roman"/>
                <w:b/>
                <w:color w:val="000000"/>
                <w:kern w:val="0"/>
                <w:sz w:val="24"/>
                <w:szCs w:val="24"/>
                <w:lang w:eastAsia="pt-BR"/>
                <w14:ligatures w14:val="none"/>
              </w:rPr>
              <w:t>2019</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5158D7D" w14:textId="77777777" w:rsidR="00FF7F93" w:rsidRPr="00FF7F93" w:rsidRDefault="00FF7F93" w:rsidP="00377E23">
            <w:pPr>
              <w:spacing w:after="0" w:line="240" w:lineRule="auto"/>
              <w:contextualSpacing/>
              <w:jc w:val="center"/>
              <w:rPr>
                <w:rFonts w:ascii="Times New Roman" w:eastAsia="Times New Roman" w:hAnsi="Times New Roman" w:cs="Times New Roman"/>
                <w:b/>
                <w:color w:val="000000"/>
                <w:kern w:val="0"/>
                <w:sz w:val="24"/>
                <w:szCs w:val="24"/>
                <w:lang w:eastAsia="pt-BR"/>
                <w14:ligatures w14:val="none"/>
              </w:rPr>
            </w:pPr>
            <w:r w:rsidRPr="00FF7F93">
              <w:rPr>
                <w:rFonts w:ascii="Times New Roman" w:eastAsia="Times New Roman" w:hAnsi="Times New Roman" w:cs="Times New Roman"/>
                <w:b/>
                <w:color w:val="000000"/>
                <w:kern w:val="0"/>
                <w:sz w:val="24"/>
                <w:szCs w:val="24"/>
                <w:lang w:eastAsia="pt-BR"/>
                <w14:ligatures w14:val="none"/>
              </w:rPr>
              <w:t>2020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6E1D406" w14:textId="77777777" w:rsidR="00FF7F93" w:rsidRPr="00FF7F93" w:rsidRDefault="00FF7F93" w:rsidP="00377E23">
            <w:pPr>
              <w:spacing w:after="0" w:line="240" w:lineRule="auto"/>
              <w:contextualSpacing/>
              <w:jc w:val="center"/>
              <w:rPr>
                <w:rFonts w:ascii="Times New Roman" w:eastAsia="Times New Roman" w:hAnsi="Times New Roman" w:cs="Times New Roman"/>
                <w:b/>
                <w:color w:val="000000"/>
                <w:kern w:val="0"/>
                <w:sz w:val="24"/>
                <w:szCs w:val="24"/>
                <w:lang w:eastAsia="pt-BR"/>
                <w14:ligatures w14:val="none"/>
              </w:rPr>
            </w:pPr>
            <w:r w:rsidRPr="00FF7F93">
              <w:rPr>
                <w:rFonts w:ascii="Times New Roman" w:eastAsia="Times New Roman" w:hAnsi="Times New Roman" w:cs="Times New Roman"/>
                <w:b/>
                <w:color w:val="000000"/>
                <w:kern w:val="0"/>
                <w:sz w:val="24"/>
                <w:szCs w:val="24"/>
                <w:lang w:eastAsia="pt-BR"/>
                <w14:ligatures w14:val="none"/>
              </w:rPr>
              <w:t>2021</w:t>
            </w:r>
          </w:p>
        </w:tc>
        <w:tc>
          <w:tcPr>
            <w:tcW w:w="960" w:type="dxa"/>
            <w:tcBorders>
              <w:top w:val="single" w:sz="4" w:space="0" w:color="auto"/>
              <w:left w:val="single" w:sz="4" w:space="0" w:color="auto"/>
              <w:bottom w:val="single" w:sz="4" w:space="0" w:color="auto"/>
              <w:right w:val="nil"/>
            </w:tcBorders>
            <w:noWrap/>
            <w:vAlign w:val="bottom"/>
            <w:hideMark/>
          </w:tcPr>
          <w:p w14:paraId="708F94F6" w14:textId="77777777" w:rsidR="00FF7F93" w:rsidRPr="00FF7F93" w:rsidRDefault="00FF7F93" w:rsidP="00377E23">
            <w:pPr>
              <w:spacing w:after="0" w:line="240" w:lineRule="auto"/>
              <w:contextualSpacing/>
              <w:jc w:val="center"/>
              <w:rPr>
                <w:rFonts w:ascii="Times New Roman" w:eastAsia="Times New Roman" w:hAnsi="Times New Roman" w:cs="Times New Roman"/>
                <w:b/>
                <w:color w:val="000000"/>
                <w:kern w:val="0"/>
                <w:sz w:val="24"/>
                <w:szCs w:val="24"/>
                <w:lang w:eastAsia="pt-BR"/>
                <w14:ligatures w14:val="none"/>
              </w:rPr>
            </w:pPr>
            <w:r w:rsidRPr="00FF7F93">
              <w:rPr>
                <w:rFonts w:ascii="Times New Roman" w:eastAsia="Times New Roman" w:hAnsi="Times New Roman" w:cs="Times New Roman"/>
                <w:b/>
                <w:color w:val="000000"/>
                <w:kern w:val="0"/>
                <w:sz w:val="24"/>
                <w:szCs w:val="24"/>
                <w:lang w:eastAsia="pt-BR"/>
                <w14:ligatures w14:val="none"/>
              </w:rPr>
              <w:t>2022</w:t>
            </w:r>
          </w:p>
        </w:tc>
      </w:tr>
      <w:tr w:rsidR="00FF7F93" w:rsidRPr="00FF7F93" w14:paraId="7B66E39F" w14:textId="77777777" w:rsidTr="001F0AEA">
        <w:trPr>
          <w:trHeight w:val="300"/>
        </w:trPr>
        <w:tc>
          <w:tcPr>
            <w:tcW w:w="1200" w:type="dxa"/>
            <w:tcBorders>
              <w:top w:val="single" w:sz="4" w:space="0" w:color="auto"/>
              <w:left w:val="nil"/>
              <w:bottom w:val="nil"/>
              <w:right w:val="nil"/>
            </w:tcBorders>
            <w:noWrap/>
            <w:vAlign w:val="bottom"/>
            <w:hideMark/>
          </w:tcPr>
          <w:p w14:paraId="2E6C629D" w14:textId="77777777" w:rsidR="00FF7F93" w:rsidRPr="00FF7F93" w:rsidRDefault="00FF7F93" w:rsidP="00377E23">
            <w:pPr>
              <w:spacing w:after="0" w:line="240" w:lineRule="auto"/>
              <w:contextualSpacing/>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Brasil</w:t>
            </w:r>
          </w:p>
        </w:tc>
        <w:tc>
          <w:tcPr>
            <w:tcW w:w="960" w:type="dxa"/>
            <w:tcBorders>
              <w:top w:val="single" w:sz="4" w:space="0" w:color="auto"/>
              <w:left w:val="nil"/>
              <w:bottom w:val="nil"/>
              <w:right w:val="nil"/>
            </w:tcBorders>
            <w:vAlign w:val="center"/>
            <w:hideMark/>
          </w:tcPr>
          <w:p w14:paraId="0F0FF81B"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6269328</w:t>
            </w:r>
          </w:p>
        </w:tc>
        <w:tc>
          <w:tcPr>
            <w:tcW w:w="960" w:type="dxa"/>
            <w:tcBorders>
              <w:top w:val="single" w:sz="4" w:space="0" w:color="auto"/>
              <w:left w:val="nil"/>
              <w:bottom w:val="nil"/>
              <w:right w:val="nil"/>
            </w:tcBorders>
            <w:vAlign w:val="center"/>
            <w:hideMark/>
          </w:tcPr>
          <w:p w14:paraId="72ADD9D4"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6396123</w:t>
            </w:r>
          </w:p>
        </w:tc>
        <w:tc>
          <w:tcPr>
            <w:tcW w:w="1180" w:type="dxa"/>
            <w:tcBorders>
              <w:top w:val="single" w:sz="4" w:space="0" w:color="auto"/>
              <w:left w:val="nil"/>
              <w:bottom w:val="nil"/>
              <w:right w:val="nil"/>
            </w:tcBorders>
            <w:vAlign w:val="center"/>
            <w:hideMark/>
          </w:tcPr>
          <w:p w14:paraId="128A98CC"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6561050</w:t>
            </w:r>
          </w:p>
        </w:tc>
        <w:tc>
          <w:tcPr>
            <w:tcW w:w="960" w:type="dxa"/>
            <w:tcBorders>
              <w:top w:val="single" w:sz="4" w:space="0" w:color="auto"/>
              <w:left w:val="nil"/>
              <w:bottom w:val="nil"/>
              <w:right w:val="nil"/>
            </w:tcBorders>
            <w:vAlign w:val="center"/>
            <w:hideMark/>
          </w:tcPr>
          <w:p w14:paraId="6A148A78"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6631203</w:t>
            </w:r>
          </w:p>
        </w:tc>
        <w:tc>
          <w:tcPr>
            <w:tcW w:w="960" w:type="dxa"/>
            <w:tcBorders>
              <w:top w:val="single" w:sz="4" w:space="0" w:color="auto"/>
              <w:left w:val="nil"/>
              <w:bottom w:val="nil"/>
              <w:right w:val="nil"/>
            </w:tcBorders>
            <w:vAlign w:val="center"/>
            <w:hideMark/>
          </w:tcPr>
          <w:p w14:paraId="31111EEC"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6530808</w:t>
            </w:r>
          </w:p>
        </w:tc>
        <w:tc>
          <w:tcPr>
            <w:tcW w:w="960" w:type="dxa"/>
            <w:tcBorders>
              <w:top w:val="single" w:sz="4" w:space="0" w:color="auto"/>
              <w:left w:val="nil"/>
              <w:bottom w:val="nil"/>
              <w:right w:val="nil"/>
            </w:tcBorders>
            <w:vAlign w:val="center"/>
            <w:hideMark/>
          </w:tcPr>
          <w:p w14:paraId="78DC0AD7"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7025703</w:t>
            </w:r>
          </w:p>
        </w:tc>
        <w:tc>
          <w:tcPr>
            <w:tcW w:w="960" w:type="dxa"/>
            <w:tcBorders>
              <w:top w:val="single" w:sz="4" w:space="0" w:color="auto"/>
              <w:left w:val="nil"/>
              <w:bottom w:val="nil"/>
              <w:right w:val="nil"/>
            </w:tcBorders>
            <w:vAlign w:val="center"/>
            <w:hideMark/>
          </w:tcPr>
          <w:p w14:paraId="2C98C268"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7430935</w:t>
            </w:r>
          </w:p>
        </w:tc>
      </w:tr>
      <w:tr w:rsidR="00FF7F93" w:rsidRPr="00FF7F93" w14:paraId="13994EA1" w14:textId="77777777" w:rsidTr="00FF7F93">
        <w:trPr>
          <w:trHeight w:val="300"/>
        </w:trPr>
        <w:tc>
          <w:tcPr>
            <w:tcW w:w="1200" w:type="dxa"/>
            <w:tcBorders>
              <w:top w:val="nil"/>
              <w:left w:val="nil"/>
              <w:bottom w:val="nil"/>
              <w:right w:val="nil"/>
            </w:tcBorders>
            <w:noWrap/>
            <w:vAlign w:val="bottom"/>
            <w:hideMark/>
          </w:tcPr>
          <w:p w14:paraId="353754C8" w14:textId="77777777" w:rsidR="00FF7F93" w:rsidRPr="00FF7F93" w:rsidRDefault="00FF7F93" w:rsidP="00377E23">
            <w:pPr>
              <w:spacing w:after="0" w:line="240" w:lineRule="auto"/>
              <w:contextualSpacing/>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Nordeste</w:t>
            </w:r>
          </w:p>
        </w:tc>
        <w:tc>
          <w:tcPr>
            <w:tcW w:w="960" w:type="dxa"/>
            <w:tcBorders>
              <w:top w:val="nil"/>
              <w:left w:val="nil"/>
              <w:bottom w:val="nil"/>
              <w:right w:val="nil"/>
            </w:tcBorders>
            <w:vAlign w:val="center"/>
            <w:hideMark/>
          </w:tcPr>
          <w:p w14:paraId="26BC469D"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898362</w:t>
            </w:r>
          </w:p>
        </w:tc>
        <w:tc>
          <w:tcPr>
            <w:tcW w:w="960" w:type="dxa"/>
            <w:tcBorders>
              <w:top w:val="nil"/>
              <w:left w:val="nil"/>
              <w:bottom w:val="nil"/>
              <w:right w:val="nil"/>
            </w:tcBorders>
            <w:vAlign w:val="center"/>
            <w:hideMark/>
          </w:tcPr>
          <w:p w14:paraId="1FEDB33A"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926402</w:t>
            </w:r>
          </w:p>
        </w:tc>
        <w:tc>
          <w:tcPr>
            <w:tcW w:w="1180" w:type="dxa"/>
            <w:tcBorders>
              <w:top w:val="nil"/>
              <w:left w:val="nil"/>
              <w:bottom w:val="nil"/>
              <w:right w:val="nil"/>
            </w:tcBorders>
            <w:vAlign w:val="center"/>
            <w:hideMark/>
          </w:tcPr>
          <w:p w14:paraId="7D0188C4"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941012</w:t>
            </w:r>
          </w:p>
        </w:tc>
        <w:tc>
          <w:tcPr>
            <w:tcW w:w="960" w:type="dxa"/>
            <w:tcBorders>
              <w:top w:val="nil"/>
              <w:left w:val="nil"/>
              <w:bottom w:val="nil"/>
              <w:right w:val="nil"/>
            </w:tcBorders>
            <w:vAlign w:val="center"/>
            <w:hideMark/>
          </w:tcPr>
          <w:p w14:paraId="3EE8B918"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939925</w:t>
            </w:r>
          </w:p>
        </w:tc>
        <w:tc>
          <w:tcPr>
            <w:tcW w:w="960" w:type="dxa"/>
            <w:tcBorders>
              <w:top w:val="nil"/>
              <w:left w:val="nil"/>
              <w:bottom w:val="nil"/>
              <w:right w:val="nil"/>
            </w:tcBorders>
            <w:vAlign w:val="center"/>
            <w:hideMark/>
          </w:tcPr>
          <w:p w14:paraId="0111AB29"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926220</w:t>
            </w:r>
          </w:p>
        </w:tc>
        <w:tc>
          <w:tcPr>
            <w:tcW w:w="960" w:type="dxa"/>
            <w:tcBorders>
              <w:top w:val="nil"/>
              <w:left w:val="nil"/>
              <w:bottom w:val="nil"/>
              <w:right w:val="nil"/>
            </w:tcBorders>
            <w:vAlign w:val="center"/>
            <w:hideMark/>
          </w:tcPr>
          <w:p w14:paraId="1DDFE46A"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969873</w:t>
            </w:r>
          </w:p>
        </w:tc>
        <w:tc>
          <w:tcPr>
            <w:tcW w:w="960" w:type="dxa"/>
            <w:tcBorders>
              <w:top w:val="nil"/>
              <w:left w:val="nil"/>
              <w:bottom w:val="nil"/>
              <w:right w:val="nil"/>
            </w:tcBorders>
            <w:vAlign w:val="center"/>
            <w:hideMark/>
          </w:tcPr>
          <w:p w14:paraId="314A89E8"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102345</w:t>
            </w:r>
          </w:p>
        </w:tc>
      </w:tr>
      <w:tr w:rsidR="00FF7F93" w:rsidRPr="00FF7F93" w14:paraId="01AA8EDE" w14:textId="77777777" w:rsidTr="00FF7F93">
        <w:trPr>
          <w:trHeight w:val="300"/>
        </w:trPr>
        <w:tc>
          <w:tcPr>
            <w:tcW w:w="1200" w:type="dxa"/>
            <w:tcBorders>
              <w:top w:val="nil"/>
              <w:left w:val="nil"/>
              <w:bottom w:val="nil"/>
              <w:right w:val="nil"/>
            </w:tcBorders>
            <w:vAlign w:val="center"/>
            <w:hideMark/>
          </w:tcPr>
          <w:p w14:paraId="7B6A414D" w14:textId="77777777" w:rsidR="00FF7F93" w:rsidRPr="00FF7F93" w:rsidRDefault="00FF7F93" w:rsidP="00377E23">
            <w:pPr>
              <w:spacing w:after="0" w:line="240" w:lineRule="auto"/>
              <w:ind w:left="507"/>
              <w:contextualSpacing/>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Maranhão</w:t>
            </w:r>
          </w:p>
        </w:tc>
        <w:tc>
          <w:tcPr>
            <w:tcW w:w="960" w:type="dxa"/>
            <w:tcBorders>
              <w:top w:val="nil"/>
              <w:left w:val="nil"/>
              <w:bottom w:val="nil"/>
              <w:right w:val="nil"/>
            </w:tcBorders>
            <w:vAlign w:val="center"/>
            <w:hideMark/>
          </w:tcPr>
          <w:p w14:paraId="3658221E"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85310</w:t>
            </w:r>
          </w:p>
        </w:tc>
        <w:tc>
          <w:tcPr>
            <w:tcW w:w="960" w:type="dxa"/>
            <w:tcBorders>
              <w:top w:val="nil"/>
              <w:left w:val="nil"/>
              <w:bottom w:val="nil"/>
              <w:right w:val="nil"/>
            </w:tcBorders>
            <w:vAlign w:val="center"/>
            <w:hideMark/>
          </w:tcPr>
          <w:p w14:paraId="6E21B3C9"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87025</w:t>
            </w:r>
          </w:p>
        </w:tc>
        <w:tc>
          <w:tcPr>
            <w:tcW w:w="1180" w:type="dxa"/>
            <w:tcBorders>
              <w:top w:val="nil"/>
              <w:left w:val="nil"/>
              <w:bottom w:val="nil"/>
              <w:right w:val="nil"/>
            </w:tcBorders>
            <w:vAlign w:val="center"/>
            <w:hideMark/>
          </w:tcPr>
          <w:p w14:paraId="1DFB0C86"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91941</w:t>
            </w:r>
          </w:p>
        </w:tc>
        <w:tc>
          <w:tcPr>
            <w:tcW w:w="960" w:type="dxa"/>
            <w:tcBorders>
              <w:top w:val="nil"/>
              <w:left w:val="nil"/>
              <w:bottom w:val="nil"/>
              <w:right w:val="nil"/>
            </w:tcBorders>
            <w:vAlign w:val="center"/>
            <w:hideMark/>
          </w:tcPr>
          <w:p w14:paraId="431C36BD"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87358</w:t>
            </w:r>
          </w:p>
        </w:tc>
        <w:tc>
          <w:tcPr>
            <w:tcW w:w="960" w:type="dxa"/>
            <w:tcBorders>
              <w:top w:val="nil"/>
              <w:left w:val="nil"/>
              <w:bottom w:val="nil"/>
              <w:right w:val="nil"/>
            </w:tcBorders>
            <w:vAlign w:val="center"/>
            <w:hideMark/>
          </w:tcPr>
          <w:p w14:paraId="2C6CC422"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91738</w:t>
            </w:r>
          </w:p>
        </w:tc>
        <w:tc>
          <w:tcPr>
            <w:tcW w:w="960" w:type="dxa"/>
            <w:tcBorders>
              <w:top w:val="nil"/>
              <w:left w:val="nil"/>
              <w:bottom w:val="nil"/>
              <w:right w:val="nil"/>
            </w:tcBorders>
            <w:vAlign w:val="center"/>
            <w:hideMark/>
          </w:tcPr>
          <w:p w14:paraId="63AD0D2A"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97478</w:t>
            </w:r>
          </w:p>
        </w:tc>
        <w:tc>
          <w:tcPr>
            <w:tcW w:w="960" w:type="dxa"/>
            <w:tcBorders>
              <w:top w:val="nil"/>
              <w:left w:val="nil"/>
              <w:bottom w:val="nil"/>
              <w:right w:val="nil"/>
            </w:tcBorders>
            <w:vAlign w:val="center"/>
            <w:hideMark/>
          </w:tcPr>
          <w:p w14:paraId="00DEE2AC"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103065</w:t>
            </w:r>
          </w:p>
        </w:tc>
      </w:tr>
      <w:tr w:rsidR="00FF7F93" w:rsidRPr="00FF7F93" w14:paraId="54DFDF11" w14:textId="77777777" w:rsidTr="00FF7F93">
        <w:trPr>
          <w:trHeight w:val="300"/>
        </w:trPr>
        <w:tc>
          <w:tcPr>
            <w:tcW w:w="1200" w:type="dxa"/>
            <w:tcBorders>
              <w:top w:val="nil"/>
              <w:left w:val="nil"/>
              <w:bottom w:val="nil"/>
              <w:right w:val="nil"/>
            </w:tcBorders>
            <w:vAlign w:val="center"/>
            <w:hideMark/>
          </w:tcPr>
          <w:p w14:paraId="07379ED7" w14:textId="77777777" w:rsidR="00FF7F93" w:rsidRPr="00FF7F93" w:rsidRDefault="00FF7F93" w:rsidP="00377E23">
            <w:pPr>
              <w:spacing w:after="0" w:line="240" w:lineRule="auto"/>
              <w:ind w:left="507"/>
              <w:contextualSpacing/>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Piauí</w:t>
            </w:r>
          </w:p>
        </w:tc>
        <w:tc>
          <w:tcPr>
            <w:tcW w:w="960" w:type="dxa"/>
            <w:tcBorders>
              <w:top w:val="nil"/>
              <w:left w:val="nil"/>
              <w:bottom w:val="nil"/>
              <w:right w:val="nil"/>
            </w:tcBorders>
            <w:vAlign w:val="center"/>
            <w:hideMark/>
          </w:tcPr>
          <w:p w14:paraId="7BD541F4"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41417</w:t>
            </w:r>
          </w:p>
        </w:tc>
        <w:tc>
          <w:tcPr>
            <w:tcW w:w="960" w:type="dxa"/>
            <w:tcBorders>
              <w:top w:val="nil"/>
              <w:left w:val="nil"/>
              <w:bottom w:val="nil"/>
              <w:right w:val="nil"/>
            </w:tcBorders>
            <w:vAlign w:val="center"/>
            <w:hideMark/>
          </w:tcPr>
          <w:p w14:paraId="3F5026C6"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44065</w:t>
            </w:r>
          </w:p>
        </w:tc>
        <w:tc>
          <w:tcPr>
            <w:tcW w:w="1180" w:type="dxa"/>
            <w:tcBorders>
              <w:top w:val="nil"/>
              <w:left w:val="nil"/>
              <w:bottom w:val="nil"/>
              <w:right w:val="nil"/>
            </w:tcBorders>
            <w:vAlign w:val="center"/>
            <w:hideMark/>
          </w:tcPr>
          <w:p w14:paraId="00EC417E"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47169</w:t>
            </w:r>
          </w:p>
        </w:tc>
        <w:tc>
          <w:tcPr>
            <w:tcW w:w="960" w:type="dxa"/>
            <w:tcBorders>
              <w:top w:val="nil"/>
              <w:left w:val="nil"/>
              <w:bottom w:val="nil"/>
              <w:right w:val="nil"/>
            </w:tcBorders>
            <w:vAlign w:val="center"/>
            <w:hideMark/>
          </w:tcPr>
          <w:p w14:paraId="02991DCC"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47371</w:t>
            </w:r>
          </w:p>
        </w:tc>
        <w:tc>
          <w:tcPr>
            <w:tcW w:w="960" w:type="dxa"/>
            <w:tcBorders>
              <w:top w:val="nil"/>
              <w:left w:val="nil"/>
              <w:bottom w:val="nil"/>
              <w:right w:val="nil"/>
            </w:tcBorders>
            <w:vAlign w:val="center"/>
            <w:hideMark/>
          </w:tcPr>
          <w:p w14:paraId="4718D63B"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48389</w:t>
            </w:r>
          </w:p>
        </w:tc>
        <w:tc>
          <w:tcPr>
            <w:tcW w:w="960" w:type="dxa"/>
            <w:tcBorders>
              <w:top w:val="nil"/>
              <w:left w:val="nil"/>
              <w:bottom w:val="nil"/>
              <w:right w:val="nil"/>
            </w:tcBorders>
            <w:vAlign w:val="center"/>
            <w:hideMark/>
          </w:tcPr>
          <w:p w14:paraId="1EDF6079"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49936</w:t>
            </w:r>
          </w:p>
        </w:tc>
        <w:tc>
          <w:tcPr>
            <w:tcW w:w="960" w:type="dxa"/>
            <w:tcBorders>
              <w:top w:val="nil"/>
              <w:left w:val="nil"/>
              <w:bottom w:val="nil"/>
              <w:right w:val="nil"/>
            </w:tcBorders>
            <w:vAlign w:val="center"/>
            <w:hideMark/>
          </w:tcPr>
          <w:p w14:paraId="7A84D4AD"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53700</w:t>
            </w:r>
          </w:p>
        </w:tc>
      </w:tr>
      <w:tr w:rsidR="00FF7F93" w:rsidRPr="00FF7F93" w14:paraId="1B32F3BA" w14:textId="77777777" w:rsidTr="00FF7F93">
        <w:trPr>
          <w:trHeight w:val="300"/>
        </w:trPr>
        <w:tc>
          <w:tcPr>
            <w:tcW w:w="1200" w:type="dxa"/>
            <w:tcBorders>
              <w:top w:val="nil"/>
              <w:left w:val="nil"/>
              <w:bottom w:val="nil"/>
              <w:right w:val="nil"/>
            </w:tcBorders>
            <w:vAlign w:val="center"/>
            <w:hideMark/>
          </w:tcPr>
          <w:p w14:paraId="2B7D7082" w14:textId="77777777" w:rsidR="00FF7F93" w:rsidRPr="00FF7F93" w:rsidRDefault="00FF7F93" w:rsidP="00377E23">
            <w:pPr>
              <w:spacing w:after="0" w:line="240" w:lineRule="auto"/>
              <w:ind w:left="507"/>
              <w:contextualSpacing/>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Ceará</w:t>
            </w:r>
          </w:p>
        </w:tc>
        <w:tc>
          <w:tcPr>
            <w:tcW w:w="960" w:type="dxa"/>
            <w:tcBorders>
              <w:top w:val="nil"/>
              <w:left w:val="nil"/>
              <w:bottom w:val="nil"/>
              <w:right w:val="nil"/>
            </w:tcBorders>
            <w:vAlign w:val="center"/>
            <w:hideMark/>
          </w:tcPr>
          <w:p w14:paraId="06520332"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138423</w:t>
            </w:r>
          </w:p>
        </w:tc>
        <w:tc>
          <w:tcPr>
            <w:tcW w:w="960" w:type="dxa"/>
            <w:tcBorders>
              <w:top w:val="nil"/>
              <w:left w:val="nil"/>
              <w:bottom w:val="nil"/>
              <w:right w:val="nil"/>
            </w:tcBorders>
            <w:vAlign w:val="center"/>
            <w:hideMark/>
          </w:tcPr>
          <w:p w14:paraId="13515215"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143727</w:t>
            </w:r>
          </w:p>
        </w:tc>
        <w:tc>
          <w:tcPr>
            <w:tcW w:w="1180" w:type="dxa"/>
            <w:tcBorders>
              <w:top w:val="nil"/>
              <w:left w:val="nil"/>
              <w:bottom w:val="nil"/>
              <w:right w:val="nil"/>
            </w:tcBorders>
            <w:vAlign w:val="center"/>
            <w:hideMark/>
          </w:tcPr>
          <w:p w14:paraId="31C6BCF5"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146008</w:t>
            </w:r>
          </w:p>
        </w:tc>
        <w:tc>
          <w:tcPr>
            <w:tcW w:w="960" w:type="dxa"/>
            <w:tcBorders>
              <w:top w:val="nil"/>
              <w:left w:val="nil"/>
              <w:bottom w:val="nil"/>
              <w:right w:val="nil"/>
            </w:tcBorders>
            <w:vAlign w:val="center"/>
            <w:hideMark/>
          </w:tcPr>
          <w:p w14:paraId="304BC7DD"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146787</w:t>
            </w:r>
          </w:p>
        </w:tc>
        <w:tc>
          <w:tcPr>
            <w:tcW w:w="960" w:type="dxa"/>
            <w:tcBorders>
              <w:top w:val="nil"/>
              <w:left w:val="nil"/>
              <w:bottom w:val="nil"/>
              <w:right w:val="nil"/>
            </w:tcBorders>
            <w:vAlign w:val="center"/>
            <w:hideMark/>
          </w:tcPr>
          <w:p w14:paraId="663F405A"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143303</w:t>
            </w:r>
          </w:p>
        </w:tc>
        <w:tc>
          <w:tcPr>
            <w:tcW w:w="960" w:type="dxa"/>
            <w:tcBorders>
              <w:top w:val="nil"/>
              <w:left w:val="nil"/>
              <w:bottom w:val="nil"/>
              <w:right w:val="nil"/>
            </w:tcBorders>
            <w:vAlign w:val="center"/>
            <w:hideMark/>
          </w:tcPr>
          <w:p w14:paraId="23949915"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152004</w:t>
            </w:r>
          </w:p>
        </w:tc>
        <w:tc>
          <w:tcPr>
            <w:tcW w:w="960" w:type="dxa"/>
            <w:tcBorders>
              <w:top w:val="nil"/>
              <w:left w:val="nil"/>
              <w:bottom w:val="nil"/>
              <w:right w:val="nil"/>
            </w:tcBorders>
            <w:vAlign w:val="center"/>
            <w:hideMark/>
          </w:tcPr>
          <w:p w14:paraId="16C1930C"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157438</w:t>
            </w:r>
          </w:p>
        </w:tc>
      </w:tr>
      <w:tr w:rsidR="00FF7F93" w:rsidRPr="00FF7F93" w14:paraId="78677CEF" w14:textId="77777777" w:rsidTr="00FF7F93">
        <w:trPr>
          <w:trHeight w:val="300"/>
        </w:trPr>
        <w:tc>
          <w:tcPr>
            <w:tcW w:w="1200" w:type="dxa"/>
            <w:tcBorders>
              <w:top w:val="nil"/>
              <w:left w:val="nil"/>
              <w:bottom w:val="nil"/>
              <w:right w:val="nil"/>
            </w:tcBorders>
            <w:vAlign w:val="center"/>
            <w:hideMark/>
          </w:tcPr>
          <w:p w14:paraId="0CBCDB2C" w14:textId="77777777" w:rsidR="00FF7F93" w:rsidRPr="00FF7F93" w:rsidRDefault="00FF7F93" w:rsidP="00377E23">
            <w:pPr>
              <w:spacing w:after="0" w:line="240" w:lineRule="auto"/>
              <w:ind w:left="507"/>
              <w:contextualSpacing/>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RN</w:t>
            </w:r>
          </w:p>
        </w:tc>
        <w:tc>
          <w:tcPr>
            <w:tcW w:w="960" w:type="dxa"/>
            <w:tcBorders>
              <w:top w:val="nil"/>
              <w:left w:val="nil"/>
              <w:bottom w:val="nil"/>
              <w:right w:val="nil"/>
            </w:tcBorders>
            <w:vAlign w:val="center"/>
            <w:hideMark/>
          </w:tcPr>
          <w:p w14:paraId="4430EE17"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59677</w:t>
            </w:r>
          </w:p>
        </w:tc>
        <w:tc>
          <w:tcPr>
            <w:tcW w:w="960" w:type="dxa"/>
            <w:tcBorders>
              <w:top w:val="nil"/>
              <w:left w:val="nil"/>
              <w:bottom w:val="nil"/>
              <w:right w:val="nil"/>
            </w:tcBorders>
            <w:vAlign w:val="center"/>
            <w:hideMark/>
          </w:tcPr>
          <w:p w14:paraId="242AD0A8"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62460</w:t>
            </w:r>
          </w:p>
        </w:tc>
        <w:tc>
          <w:tcPr>
            <w:tcW w:w="1180" w:type="dxa"/>
            <w:tcBorders>
              <w:top w:val="nil"/>
              <w:left w:val="nil"/>
              <w:bottom w:val="nil"/>
              <w:right w:val="nil"/>
            </w:tcBorders>
            <w:vAlign w:val="center"/>
            <w:hideMark/>
          </w:tcPr>
          <w:p w14:paraId="199390E1"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62696</w:t>
            </w:r>
          </w:p>
        </w:tc>
        <w:tc>
          <w:tcPr>
            <w:tcW w:w="960" w:type="dxa"/>
            <w:tcBorders>
              <w:top w:val="nil"/>
              <w:left w:val="nil"/>
              <w:bottom w:val="nil"/>
              <w:right w:val="nil"/>
            </w:tcBorders>
            <w:vAlign w:val="center"/>
            <w:hideMark/>
          </w:tcPr>
          <w:p w14:paraId="4D29C507"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64006</w:t>
            </w:r>
          </w:p>
        </w:tc>
        <w:tc>
          <w:tcPr>
            <w:tcW w:w="960" w:type="dxa"/>
            <w:tcBorders>
              <w:top w:val="nil"/>
              <w:left w:val="nil"/>
              <w:bottom w:val="nil"/>
              <w:right w:val="nil"/>
            </w:tcBorders>
            <w:vAlign w:val="center"/>
            <w:hideMark/>
          </w:tcPr>
          <w:p w14:paraId="56788DB6"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61412</w:t>
            </w:r>
          </w:p>
        </w:tc>
        <w:tc>
          <w:tcPr>
            <w:tcW w:w="960" w:type="dxa"/>
            <w:tcBorders>
              <w:top w:val="nil"/>
              <w:left w:val="nil"/>
              <w:bottom w:val="nil"/>
              <w:right w:val="nil"/>
            </w:tcBorders>
            <w:vAlign w:val="center"/>
            <w:hideMark/>
          </w:tcPr>
          <w:p w14:paraId="69E155BB"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62518</w:t>
            </w:r>
          </w:p>
        </w:tc>
        <w:tc>
          <w:tcPr>
            <w:tcW w:w="960" w:type="dxa"/>
            <w:tcBorders>
              <w:top w:val="nil"/>
              <w:left w:val="nil"/>
              <w:bottom w:val="nil"/>
              <w:right w:val="nil"/>
            </w:tcBorders>
            <w:vAlign w:val="center"/>
            <w:hideMark/>
          </w:tcPr>
          <w:p w14:paraId="04A2E63E"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69179</w:t>
            </w:r>
          </w:p>
        </w:tc>
      </w:tr>
      <w:tr w:rsidR="00FF7F93" w:rsidRPr="00FF7F93" w14:paraId="1B49D20B" w14:textId="77777777" w:rsidTr="00FF7F93">
        <w:trPr>
          <w:trHeight w:val="300"/>
        </w:trPr>
        <w:tc>
          <w:tcPr>
            <w:tcW w:w="1200" w:type="dxa"/>
            <w:tcBorders>
              <w:top w:val="nil"/>
              <w:left w:val="nil"/>
              <w:bottom w:val="nil"/>
              <w:right w:val="nil"/>
            </w:tcBorders>
            <w:vAlign w:val="center"/>
            <w:hideMark/>
          </w:tcPr>
          <w:p w14:paraId="3530E7AB" w14:textId="186609EF" w:rsidR="00FF7F93" w:rsidRPr="00FF7F93" w:rsidRDefault="005342DC" w:rsidP="00377E23">
            <w:pPr>
              <w:spacing w:after="0" w:line="240" w:lineRule="auto"/>
              <w:ind w:left="507"/>
              <w:contextualSpacing/>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Paraíba</w:t>
            </w:r>
          </w:p>
        </w:tc>
        <w:tc>
          <w:tcPr>
            <w:tcW w:w="960" w:type="dxa"/>
            <w:tcBorders>
              <w:top w:val="nil"/>
              <w:left w:val="nil"/>
              <w:bottom w:val="nil"/>
              <w:right w:val="nil"/>
            </w:tcBorders>
            <w:vAlign w:val="center"/>
            <w:hideMark/>
          </w:tcPr>
          <w:p w14:paraId="303454ED"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59105</w:t>
            </w:r>
          </w:p>
        </w:tc>
        <w:tc>
          <w:tcPr>
            <w:tcW w:w="960" w:type="dxa"/>
            <w:tcBorders>
              <w:top w:val="nil"/>
              <w:left w:val="nil"/>
              <w:bottom w:val="nil"/>
              <w:right w:val="nil"/>
            </w:tcBorders>
            <w:vAlign w:val="center"/>
            <w:hideMark/>
          </w:tcPr>
          <w:p w14:paraId="62AADEB7"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60613</w:t>
            </w:r>
          </w:p>
        </w:tc>
        <w:tc>
          <w:tcPr>
            <w:tcW w:w="1180" w:type="dxa"/>
            <w:tcBorders>
              <w:top w:val="nil"/>
              <w:left w:val="nil"/>
              <w:bottom w:val="nil"/>
              <w:right w:val="nil"/>
            </w:tcBorders>
            <w:vAlign w:val="center"/>
            <w:hideMark/>
          </w:tcPr>
          <w:p w14:paraId="502EEB6B"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60270</w:t>
            </w:r>
          </w:p>
        </w:tc>
        <w:tc>
          <w:tcPr>
            <w:tcW w:w="960" w:type="dxa"/>
            <w:tcBorders>
              <w:top w:val="nil"/>
              <w:left w:val="nil"/>
              <w:bottom w:val="nil"/>
              <w:right w:val="nil"/>
            </w:tcBorders>
            <w:vAlign w:val="center"/>
            <w:hideMark/>
          </w:tcPr>
          <w:p w14:paraId="330A5904"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61002</w:t>
            </w:r>
          </w:p>
        </w:tc>
        <w:tc>
          <w:tcPr>
            <w:tcW w:w="960" w:type="dxa"/>
            <w:tcBorders>
              <w:top w:val="nil"/>
              <w:left w:val="nil"/>
              <w:bottom w:val="nil"/>
              <w:right w:val="nil"/>
            </w:tcBorders>
            <w:vAlign w:val="center"/>
            <w:hideMark/>
          </w:tcPr>
          <w:p w14:paraId="2F05AC92"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60320</w:t>
            </w:r>
          </w:p>
        </w:tc>
        <w:tc>
          <w:tcPr>
            <w:tcW w:w="960" w:type="dxa"/>
            <w:tcBorders>
              <w:top w:val="nil"/>
              <w:left w:val="nil"/>
              <w:bottom w:val="nil"/>
              <w:right w:val="nil"/>
            </w:tcBorders>
            <w:vAlign w:val="center"/>
            <w:hideMark/>
          </w:tcPr>
          <w:p w14:paraId="07BA26C6"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60404</w:t>
            </w:r>
          </w:p>
        </w:tc>
        <w:tc>
          <w:tcPr>
            <w:tcW w:w="960" w:type="dxa"/>
            <w:tcBorders>
              <w:top w:val="nil"/>
              <w:left w:val="nil"/>
              <w:bottom w:val="nil"/>
              <w:right w:val="nil"/>
            </w:tcBorders>
            <w:vAlign w:val="center"/>
            <w:hideMark/>
          </w:tcPr>
          <w:p w14:paraId="0B6E2338"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63464</w:t>
            </w:r>
          </w:p>
        </w:tc>
      </w:tr>
      <w:tr w:rsidR="00FF7F93" w:rsidRPr="00FF7F93" w14:paraId="1C6659A9" w14:textId="77777777" w:rsidTr="00FF7F93">
        <w:trPr>
          <w:trHeight w:val="300"/>
        </w:trPr>
        <w:tc>
          <w:tcPr>
            <w:tcW w:w="1200" w:type="dxa"/>
            <w:tcBorders>
              <w:top w:val="nil"/>
              <w:left w:val="nil"/>
              <w:bottom w:val="nil"/>
              <w:right w:val="nil"/>
            </w:tcBorders>
            <w:vAlign w:val="center"/>
            <w:hideMark/>
          </w:tcPr>
          <w:p w14:paraId="7A0BBA66" w14:textId="77777777" w:rsidR="00FF7F93" w:rsidRPr="00FF7F93" w:rsidRDefault="00FF7F93" w:rsidP="00377E23">
            <w:pPr>
              <w:spacing w:after="0" w:line="240" w:lineRule="auto"/>
              <w:ind w:left="507"/>
              <w:contextualSpacing/>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PE</w:t>
            </w:r>
          </w:p>
        </w:tc>
        <w:tc>
          <w:tcPr>
            <w:tcW w:w="960" w:type="dxa"/>
            <w:tcBorders>
              <w:top w:val="nil"/>
              <w:left w:val="nil"/>
              <w:bottom w:val="nil"/>
              <w:right w:val="nil"/>
            </w:tcBorders>
            <w:vAlign w:val="center"/>
            <w:hideMark/>
          </w:tcPr>
          <w:p w14:paraId="2EFAC30E"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167345</w:t>
            </w:r>
          </w:p>
        </w:tc>
        <w:tc>
          <w:tcPr>
            <w:tcW w:w="960" w:type="dxa"/>
            <w:tcBorders>
              <w:top w:val="nil"/>
              <w:left w:val="nil"/>
              <w:bottom w:val="nil"/>
              <w:right w:val="nil"/>
            </w:tcBorders>
            <w:vAlign w:val="center"/>
            <w:hideMark/>
          </w:tcPr>
          <w:p w14:paraId="6519CE6B"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176408</w:t>
            </w:r>
          </w:p>
        </w:tc>
        <w:tc>
          <w:tcPr>
            <w:tcW w:w="1180" w:type="dxa"/>
            <w:tcBorders>
              <w:top w:val="nil"/>
              <w:left w:val="nil"/>
              <w:bottom w:val="nil"/>
              <w:right w:val="nil"/>
            </w:tcBorders>
            <w:vAlign w:val="center"/>
            <w:hideMark/>
          </w:tcPr>
          <w:p w14:paraId="2A10D303"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174534</w:t>
            </w:r>
          </w:p>
        </w:tc>
        <w:tc>
          <w:tcPr>
            <w:tcW w:w="960" w:type="dxa"/>
            <w:tcBorders>
              <w:top w:val="nil"/>
              <w:left w:val="nil"/>
              <w:bottom w:val="nil"/>
              <w:right w:val="nil"/>
            </w:tcBorders>
            <w:vAlign w:val="center"/>
            <w:hideMark/>
          </w:tcPr>
          <w:p w14:paraId="627BE265"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177538</w:t>
            </w:r>
          </w:p>
        </w:tc>
        <w:tc>
          <w:tcPr>
            <w:tcW w:w="960" w:type="dxa"/>
            <w:tcBorders>
              <w:top w:val="nil"/>
              <w:left w:val="nil"/>
              <w:bottom w:val="nil"/>
              <w:right w:val="nil"/>
            </w:tcBorders>
            <w:vAlign w:val="center"/>
            <w:hideMark/>
          </w:tcPr>
          <w:p w14:paraId="45A92165"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165899</w:t>
            </w:r>
          </w:p>
        </w:tc>
        <w:tc>
          <w:tcPr>
            <w:tcW w:w="960" w:type="dxa"/>
            <w:tcBorders>
              <w:top w:val="nil"/>
              <w:left w:val="nil"/>
              <w:bottom w:val="nil"/>
              <w:right w:val="nil"/>
            </w:tcBorders>
            <w:vAlign w:val="center"/>
            <w:hideMark/>
          </w:tcPr>
          <w:p w14:paraId="0472FE54"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172219</w:t>
            </w:r>
          </w:p>
        </w:tc>
        <w:tc>
          <w:tcPr>
            <w:tcW w:w="960" w:type="dxa"/>
            <w:tcBorders>
              <w:top w:val="nil"/>
              <w:left w:val="nil"/>
              <w:bottom w:val="nil"/>
              <w:right w:val="nil"/>
            </w:tcBorders>
            <w:vAlign w:val="center"/>
            <w:hideMark/>
          </w:tcPr>
          <w:p w14:paraId="4A939FCD"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181269</w:t>
            </w:r>
          </w:p>
        </w:tc>
      </w:tr>
      <w:tr w:rsidR="00FF7F93" w:rsidRPr="00FF7F93" w14:paraId="686BEC98" w14:textId="77777777" w:rsidTr="00FF7F93">
        <w:trPr>
          <w:trHeight w:val="300"/>
        </w:trPr>
        <w:tc>
          <w:tcPr>
            <w:tcW w:w="1200" w:type="dxa"/>
            <w:tcBorders>
              <w:top w:val="nil"/>
              <w:left w:val="nil"/>
              <w:bottom w:val="nil"/>
              <w:right w:val="nil"/>
            </w:tcBorders>
            <w:vAlign w:val="center"/>
            <w:hideMark/>
          </w:tcPr>
          <w:p w14:paraId="1D8A683C" w14:textId="77777777" w:rsidR="00FF7F93" w:rsidRPr="00FF7F93" w:rsidRDefault="00FF7F93" w:rsidP="00377E23">
            <w:pPr>
              <w:spacing w:after="0" w:line="240" w:lineRule="auto"/>
              <w:ind w:left="507"/>
              <w:contextualSpacing/>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Alagoas</w:t>
            </w:r>
          </w:p>
        </w:tc>
        <w:tc>
          <w:tcPr>
            <w:tcW w:w="960" w:type="dxa"/>
            <w:tcBorders>
              <w:top w:val="nil"/>
              <w:left w:val="nil"/>
              <w:bottom w:val="nil"/>
              <w:right w:val="nil"/>
            </w:tcBorders>
            <w:vAlign w:val="center"/>
            <w:hideMark/>
          </w:tcPr>
          <w:p w14:paraId="61CD9658"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49469</w:t>
            </w:r>
          </w:p>
        </w:tc>
        <w:tc>
          <w:tcPr>
            <w:tcW w:w="960" w:type="dxa"/>
            <w:tcBorders>
              <w:top w:val="nil"/>
              <w:left w:val="nil"/>
              <w:bottom w:val="nil"/>
              <w:right w:val="nil"/>
            </w:tcBorders>
            <w:vAlign w:val="center"/>
            <w:hideMark/>
          </w:tcPr>
          <w:p w14:paraId="270D91ED"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51334</w:t>
            </w:r>
          </w:p>
        </w:tc>
        <w:tc>
          <w:tcPr>
            <w:tcW w:w="1180" w:type="dxa"/>
            <w:tcBorders>
              <w:top w:val="nil"/>
              <w:left w:val="nil"/>
              <w:bottom w:val="nil"/>
              <w:right w:val="nil"/>
            </w:tcBorders>
            <w:vAlign w:val="center"/>
            <w:hideMark/>
          </w:tcPr>
          <w:p w14:paraId="4EA3F069"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50935</w:t>
            </w:r>
          </w:p>
        </w:tc>
        <w:tc>
          <w:tcPr>
            <w:tcW w:w="960" w:type="dxa"/>
            <w:tcBorders>
              <w:top w:val="nil"/>
              <w:left w:val="nil"/>
              <w:bottom w:val="nil"/>
              <w:right w:val="nil"/>
            </w:tcBorders>
            <w:vAlign w:val="center"/>
            <w:hideMark/>
          </w:tcPr>
          <w:p w14:paraId="024AD8A5"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52899</w:t>
            </w:r>
          </w:p>
        </w:tc>
        <w:tc>
          <w:tcPr>
            <w:tcW w:w="960" w:type="dxa"/>
            <w:tcBorders>
              <w:top w:val="nil"/>
              <w:left w:val="nil"/>
              <w:bottom w:val="nil"/>
              <w:right w:val="nil"/>
            </w:tcBorders>
            <w:vAlign w:val="center"/>
            <w:hideMark/>
          </w:tcPr>
          <w:p w14:paraId="0C65E605"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54261</w:t>
            </w:r>
          </w:p>
        </w:tc>
        <w:tc>
          <w:tcPr>
            <w:tcW w:w="960" w:type="dxa"/>
            <w:tcBorders>
              <w:top w:val="nil"/>
              <w:left w:val="nil"/>
              <w:bottom w:val="nil"/>
              <w:right w:val="nil"/>
            </w:tcBorders>
            <w:vAlign w:val="center"/>
            <w:hideMark/>
          </w:tcPr>
          <w:p w14:paraId="3C360A83"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59448</w:t>
            </w:r>
          </w:p>
        </w:tc>
        <w:tc>
          <w:tcPr>
            <w:tcW w:w="960" w:type="dxa"/>
            <w:tcBorders>
              <w:top w:val="nil"/>
              <w:left w:val="nil"/>
              <w:bottom w:val="nil"/>
              <w:right w:val="nil"/>
            </w:tcBorders>
            <w:vAlign w:val="center"/>
            <w:hideMark/>
          </w:tcPr>
          <w:p w14:paraId="003E1302"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56067</w:t>
            </w:r>
          </w:p>
        </w:tc>
      </w:tr>
      <w:tr w:rsidR="00FF7F93" w:rsidRPr="00FF7F93" w14:paraId="762AB66B" w14:textId="77777777" w:rsidTr="001F0AEA">
        <w:trPr>
          <w:trHeight w:val="300"/>
        </w:trPr>
        <w:tc>
          <w:tcPr>
            <w:tcW w:w="1200" w:type="dxa"/>
            <w:tcBorders>
              <w:top w:val="nil"/>
              <w:left w:val="nil"/>
              <w:right w:val="nil"/>
            </w:tcBorders>
            <w:vAlign w:val="center"/>
            <w:hideMark/>
          </w:tcPr>
          <w:p w14:paraId="0F607E41" w14:textId="77777777" w:rsidR="00FF7F93" w:rsidRPr="00FF7F93" w:rsidRDefault="00FF7F93" w:rsidP="00377E23">
            <w:pPr>
              <w:spacing w:after="0" w:line="240" w:lineRule="auto"/>
              <w:ind w:left="507"/>
              <w:contextualSpacing/>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Sergipe</w:t>
            </w:r>
          </w:p>
        </w:tc>
        <w:tc>
          <w:tcPr>
            <w:tcW w:w="960" w:type="dxa"/>
            <w:tcBorders>
              <w:top w:val="nil"/>
              <w:left w:val="nil"/>
              <w:right w:val="nil"/>
            </w:tcBorders>
            <w:vAlign w:val="center"/>
            <w:hideMark/>
          </w:tcPr>
          <w:p w14:paraId="03D84F38"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38877</w:t>
            </w:r>
          </w:p>
        </w:tc>
        <w:tc>
          <w:tcPr>
            <w:tcW w:w="960" w:type="dxa"/>
            <w:tcBorders>
              <w:top w:val="nil"/>
              <w:left w:val="nil"/>
              <w:right w:val="nil"/>
            </w:tcBorders>
            <w:vAlign w:val="center"/>
            <w:hideMark/>
          </w:tcPr>
          <w:p w14:paraId="1C63D563"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39547</w:t>
            </w:r>
          </w:p>
        </w:tc>
        <w:tc>
          <w:tcPr>
            <w:tcW w:w="1180" w:type="dxa"/>
            <w:tcBorders>
              <w:top w:val="nil"/>
              <w:left w:val="nil"/>
              <w:right w:val="nil"/>
            </w:tcBorders>
            <w:vAlign w:val="center"/>
            <w:hideMark/>
          </w:tcPr>
          <w:p w14:paraId="3CFDF9BA"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39336</w:t>
            </w:r>
          </w:p>
        </w:tc>
        <w:tc>
          <w:tcPr>
            <w:tcW w:w="960" w:type="dxa"/>
            <w:tcBorders>
              <w:top w:val="nil"/>
              <w:left w:val="nil"/>
              <w:right w:val="nil"/>
            </w:tcBorders>
            <w:vAlign w:val="center"/>
            <w:hideMark/>
          </w:tcPr>
          <w:p w14:paraId="76622856"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40102</w:t>
            </w:r>
          </w:p>
        </w:tc>
        <w:tc>
          <w:tcPr>
            <w:tcW w:w="960" w:type="dxa"/>
            <w:tcBorders>
              <w:top w:val="nil"/>
              <w:left w:val="nil"/>
              <w:right w:val="nil"/>
            </w:tcBorders>
            <w:vAlign w:val="center"/>
            <w:hideMark/>
          </w:tcPr>
          <w:p w14:paraId="2EB26E4B"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38973</w:t>
            </w:r>
          </w:p>
        </w:tc>
        <w:tc>
          <w:tcPr>
            <w:tcW w:w="960" w:type="dxa"/>
            <w:tcBorders>
              <w:top w:val="nil"/>
              <w:left w:val="nil"/>
              <w:right w:val="nil"/>
            </w:tcBorders>
            <w:vAlign w:val="center"/>
            <w:hideMark/>
          </w:tcPr>
          <w:p w14:paraId="0E3E0140"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40443</w:t>
            </w:r>
          </w:p>
        </w:tc>
        <w:tc>
          <w:tcPr>
            <w:tcW w:w="960" w:type="dxa"/>
            <w:tcBorders>
              <w:top w:val="nil"/>
              <w:left w:val="nil"/>
              <w:right w:val="nil"/>
            </w:tcBorders>
            <w:vAlign w:val="center"/>
            <w:hideMark/>
          </w:tcPr>
          <w:p w14:paraId="7BC2AB18" w14:textId="77777777" w:rsidR="00FF7F93" w:rsidRPr="00FF7F93"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FF7F93">
              <w:rPr>
                <w:rFonts w:ascii="Times New Roman" w:eastAsia="Times New Roman" w:hAnsi="Times New Roman" w:cs="Times New Roman"/>
                <w:color w:val="000000"/>
                <w:kern w:val="0"/>
                <w:sz w:val="24"/>
                <w:szCs w:val="24"/>
                <w:lang w:eastAsia="pt-BR"/>
                <w14:ligatures w14:val="none"/>
              </w:rPr>
              <w:t>42295</w:t>
            </w:r>
          </w:p>
        </w:tc>
      </w:tr>
      <w:tr w:rsidR="00FF7F93" w:rsidRPr="001F0AEA" w14:paraId="26D94604" w14:textId="77777777" w:rsidTr="001F0AEA">
        <w:trPr>
          <w:trHeight w:val="300"/>
        </w:trPr>
        <w:tc>
          <w:tcPr>
            <w:tcW w:w="1200" w:type="dxa"/>
            <w:tcBorders>
              <w:top w:val="nil"/>
              <w:left w:val="nil"/>
              <w:bottom w:val="single" w:sz="4" w:space="0" w:color="auto"/>
              <w:right w:val="nil"/>
            </w:tcBorders>
            <w:vAlign w:val="center"/>
            <w:hideMark/>
          </w:tcPr>
          <w:p w14:paraId="5FA52D11" w14:textId="77777777" w:rsidR="00FF7F93" w:rsidRPr="001F0AEA" w:rsidRDefault="00FF7F93" w:rsidP="00377E23">
            <w:pPr>
              <w:spacing w:after="0" w:line="240" w:lineRule="auto"/>
              <w:ind w:left="507"/>
              <w:contextualSpacing/>
              <w:rPr>
                <w:rFonts w:ascii="Times New Roman" w:eastAsia="Times New Roman" w:hAnsi="Times New Roman" w:cs="Times New Roman"/>
                <w:color w:val="000000"/>
                <w:kern w:val="0"/>
                <w:sz w:val="24"/>
                <w:szCs w:val="24"/>
                <w:lang w:eastAsia="pt-BR"/>
                <w14:ligatures w14:val="none"/>
              </w:rPr>
            </w:pPr>
            <w:r w:rsidRPr="001F0AEA">
              <w:rPr>
                <w:rFonts w:ascii="Times New Roman" w:eastAsia="Times New Roman" w:hAnsi="Times New Roman" w:cs="Times New Roman"/>
                <w:color w:val="000000"/>
                <w:kern w:val="0"/>
                <w:sz w:val="24"/>
                <w:szCs w:val="24"/>
                <w:lang w:eastAsia="pt-BR"/>
                <w14:ligatures w14:val="none"/>
              </w:rPr>
              <w:t>Bahia</w:t>
            </w:r>
          </w:p>
        </w:tc>
        <w:tc>
          <w:tcPr>
            <w:tcW w:w="960" w:type="dxa"/>
            <w:tcBorders>
              <w:top w:val="nil"/>
              <w:left w:val="nil"/>
              <w:bottom w:val="single" w:sz="4" w:space="0" w:color="auto"/>
              <w:right w:val="nil"/>
            </w:tcBorders>
            <w:vAlign w:val="center"/>
            <w:hideMark/>
          </w:tcPr>
          <w:p w14:paraId="5EBECB4D" w14:textId="77777777" w:rsidR="00FF7F93" w:rsidRPr="001F0AEA"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1F0AEA">
              <w:rPr>
                <w:rFonts w:ascii="Times New Roman" w:eastAsia="Times New Roman" w:hAnsi="Times New Roman" w:cs="Times New Roman"/>
                <w:color w:val="000000"/>
                <w:kern w:val="0"/>
                <w:sz w:val="24"/>
                <w:szCs w:val="24"/>
                <w:lang w:eastAsia="pt-BR"/>
                <w14:ligatures w14:val="none"/>
              </w:rPr>
              <w:t>258739</w:t>
            </w:r>
          </w:p>
        </w:tc>
        <w:tc>
          <w:tcPr>
            <w:tcW w:w="960" w:type="dxa"/>
            <w:tcBorders>
              <w:top w:val="nil"/>
              <w:left w:val="nil"/>
              <w:bottom w:val="single" w:sz="4" w:space="0" w:color="auto"/>
              <w:right w:val="nil"/>
            </w:tcBorders>
            <w:vAlign w:val="center"/>
            <w:hideMark/>
          </w:tcPr>
          <w:p w14:paraId="588A38EA" w14:textId="77777777" w:rsidR="00FF7F93" w:rsidRPr="001F0AEA"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1F0AEA">
              <w:rPr>
                <w:rFonts w:ascii="Times New Roman" w:eastAsia="Times New Roman" w:hAnsi="Times New Roman" w:cs="Times New Roman"/>
                <w:color w:val="000000"/>
                <w:kern w:val="0"/>
                <w:sz w:val="24"/>
                <w:szCs w:val="24"/>
                <w:lang w:eastAsia="pt-BR"/>
                <w14:ligatures w14:val="none"/>
              </w:rPr>
              <w:t>261056</w:t>
            </w:r>
          </w:p>
        </w:tc>
        <w:tc>
          <w:tcPr>
            <w:tcW w:w="1180" w:type="dxa"/>
            <w:tcBorders>
              <w:top w:val="nil"/>
              <w:left w:val="nil"/>
              <w:bottom w:val="single" w:sz="4" w:space="0" w:color="auto"/>
              <w:right w:val="nil"/>
            </w:tcBorders>
            <w:vAlign w:val="center"/>
            <w:hideMark/>
          </w:tcPr>
          <w:p w14:paraId="49B65115" w14:textId="77777777" w:rsidR="00FF7F93" w:rsidRPr="001F0AEA"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1F0AEA">
              <w:rPr>
                <w:rFonts w:ascii="Times New Roman" w:eastAsia="Times New Roman" w:hAnsi="Times New Roman" w:cs="Times New Roman"/>
                <w:color w:val="000000"/>
                <w:kern w:val="0"/>
                <w:sz w:val="24"/>
                <w:szCs w:val="24"/>
                <w:lang w:eastAsia="pt-BR"/>
                <w14:ligatures w14:val="none"/>
              </w:rPr>
              <w:t>267950</w:t>
            </w:r>
          </w:p>
        </w:tc>
        <w:tc>
          <w:tcPr>
            <w:tcW w:w="960" w:type="dxa"/>
            <w:tcBorders>
              <w:top w:val="nil"/>
              <w:left w:val="nil"/>
              <w:bottom w:val="single" w:sz="4" w:space="0" w:color="auto"/>
              <w:right w:val="nil"/>
            </w:tcBorders>
            <w:vAlign w:val="center"/>
            <w:hideMark/>
          </w:tcPr>
          <w:p w14:paraId="725177EE" w14:textId="77777777" w:rsidR="00FF7F93" w:rsidRPr="001F0AEA"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1F0AEA">
              <w:rPr>
                <w:rFonts w:ascii="Times New Roman" w:eastAsia="Times New Roman" w:hAnsi="Times New Roman" w:cs="Times New Roman"/>
                <w:color w:val="000000"/>
                <w:kern w:val="0"/>
                <w:sz w:val="24"/>
                <w:szCs w:val="24"/>
                <w:lang w:eastAsia="pt-BR"/>
                <w14:ligatures w14:val="none"/>
              </w:rPr>
              <w:t>263085</w:t>
            </w:r>
          </w:p>
        </w:tc>
        <w:tc>
          <w:tcPr>
            <w:tcW w:w="960" w:type="dxa"/>
            <w:tcBorders>
              <w:top w:val="nil"/>
              <w:left w:val="nil"/>
              <w:bottom w:val="single" w:sz="4" w:space="0" w:color="auto"/>
              <w:right w:val="nil"/>
            </w:tcBorders>
            <w:vAlign w:val="center"/>
            <w:hideMark/>
          </w:tcPr>
          <w:p w14:paraId="3A72D57B" w14:textId="77777777" w:rsidR="00FF7F93" w:rsidRPr="001F0AEA"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1F0AEA">
              <w:rPr>
                <w:rFonts w:ascii="Times New Roman" w:eastAsia="Times New Roman" w:hAnsi="Times New Roman" w:cs="Times New Roman"/>
                <w:color w:val="000000"/>
                <w:kern w:val="0"/>
                <w:sz w:val="24"/>
                <w:szCs w:val="24"/>
                <w:lang w:eastAsia="pt-BR"/>
                <w14:ligatures w14:val="none"/>
              </w:rPr>
              <w:t>261976</w:t>
            </w:r>
          </w:p>
        </w:tc>
        <w:tc>
          <w:tcPr>
            <w:tcW w:w="960" w:type="dxa"/>
            <w:tcBorders>
              <w:top w:val="nil"/>
              <w:left w:val="nil"/>
              <w:bottom w:val="single" w:sz="4" w:space="0" w:color="auto"/>
              <w:right w:val="nil"/>
            </w:tcBorders>
            <w:vAlign w:val="center"/>
            <w:hideMark/>
          </w:tcPr>
          <w:p w14:paraId="62749870" w14:textId="77777777" w:rsidR="00FF7F93" w:rsidRPr="001F0AEA"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1F0AEA">
              <w:rPr>
                <w:rFonts w:ascii="Times New Roman" w:eastAsia="Times New Roman" w:hAnsi="Times New Roman" w:cs="Times New Roman"/>
                <w:color w:val="000000"/>
                <w:kern w:val="0"/>
                <w:sz w:val="24"/>
                <w:szCs w:val="24"/>
                <w:lang w:eastAsia="pt-BR"/>
                <w14:ligatures w14:val="none"/>
              </w:rPr>
              <w:t>275057</w:t>
            </w:r>
          </w:p>
        </w:tc>
        <w:tc>
          <w:tcPr>
            <w:tcW w:w="960" w:type="dxa"/>
            <w:tcBorders>
              <w:top w:val="nil"/>
              <w:left w:val="nil"/>
              <w:bottom w:val="single" w:sz="4" w:space="0" w:color="auto"/>
              <w:right w:val="nil"/>
            </w:tcBorders>
            <w:vAlign w:val="center"/>
            <w:hideMark/>
          </w:tcPr>
          <w:p w14:paraId="2E08E8D7" w14:textId="77777777" w:rsidR="00FF7F93" w:rsidRPr="001F0AEA" w:rsidRDefault="00FF7F93"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1F0AEA">
              <w:rPr>
                <w:rFonts w:ascii="Times New Roman" w:eastAsia="Times New Roman" w:hAnsi="Times New Roman" w:cs="Times New Roman"/>
                <w:color w:val="000000"/>
                <w:kern w:val="0"/>
                <w:sz w:val="24"/>
                <w:szCs w:val="24"/>
                <w:lang w:eastAsia="pt-BR"/>
                <w14:ligatures w14:val="none"/>
              </w:rPr>
              <w:t>296764</w:t>
            </w:r>
          </w:p>
        </w:tc>
      </w:tr>
    </w:tbl>
    <w:p w14:paraId="52D50742" w14:textId="77777777" w:rsidR="00D01716" w:rsidRPr="00541D57" w:rsidRDefault="00E533DB" w:rsidP="00377E23">
      <w:pPr>
        <w:spacing w:after="0" w:line="240" w:lineRule="auto"/>
        <w:contextualSpacing/>
        <w:jc w:val="both"/>
        <w:rPr>
          <w:rFonts w:ascii="Times New Roman" w:eastAsia="Times New Roman" w:hAnsi="Times New Roman" w:cs="Times New Roman"/>
          <w:sz w:val="24"/>
          <w:szCs w:val="24"/>
        </w:rPr>
      </w:pPr>
      <w:r w:rsidRPr="001F0AEA">
        <w:rPr>
          <w:rStyle w:val="Forte"/>
          <w:rFonts w:ascii="Times New Roman" w:hAnsi="Times New Roman" w:cs="Times New Roman"/>
          <w:sz w:val="24"/>
          <w:szCs w:val="24"/>
        </w:rPr>
        <w:t>Fonte:</w:t>
      </w:r>
      <w:r w:rsidRPr="001F0AEA">
        <w:rPr>
          <w:rFonts w:ascii="Times New Roman" w:hAnsi="Times New Roman" w:cs="Times New Roman"/>
          <w:sz w:val="24"/>
          <w:szCs w:val="24"/>
        </w:rPr>
        <w:t xml:space="preserve"> Elaboração própria com base em dados deflacionados pelo IPCA (IBGE, 2023).</w:t>
      </w:r>
      <w:r w:rsidRPr="001F0AEA">
        <w:rPr>
          <w:rFonts w:ascii="Times New Roman" w:hAnsi="Times New Roman" w:cs="Times New Roman"/>
          <w:sz w:val="24"/>
          <w:szCs w:val="24"/>
        </w:rPr>
        <w:br/>
      </w:r>
      <w:r w:rsidR="00D01716" w:rsidRPr="00541D57">
        <w:rPr>
          <w:rStyle w:val="Forte"/>
          <w:rFonts w:ascii="Times New Roman" w:hAnsi="Times New Roman" w:cs="Times New Roman"/>
          <w:sz w:val="24"/>
          <w:szCs w:val="24"/>
        </w:rPr>
        <w:t>Nota:</w:t>
      </w:r>
      <w:r w:rsidR="00D01716">
        <w:rPr>
          <w:rFonts w:ascii="Times New Roman" w:hAnsi="Times New Roman" w:cs="Times New Roman"/>
          <w:sz w:val="24"/>
          <w:szCs w:val="24"/>
        </w:rPr>
        <w:t xml:space="preserve"> </w:t>
      </w:r>
      <w:r w:rsidR="00D01716" w:rsidRPr="00541D57">
        <w:rPr>
          <w:rFonts w:ascii="Times New Roman" w:hAnsi="Times New Roman" w:cs="Times New Roman"/>
          <w:sz w:val="24"/>
          <w:szCs w:val="24"/>
        </w:rPr>
        <w:t xml:space="preserve">Valores deflacionados para preços constantes </w:t>
      </w:r>
      <w:r w:rsidR="00D01716">
        <w:rPr>
          <w:rFonts w:ascii="Times New Roman" w:hAnsi="Times New Roman" w:cs="Times New Roman"/>
          <w:sz w:val="24"/>
          <w:szCs w:val="24"/>
        </w:rPr>
        <w:t xml:space="preserve">pelo IPCA </w:t>
      </w:r>
      <w:r w:rsidR="00D01716" w:rsidRPr="00541D57">
        <w:rPr>
          <w:rFonts w:ascii="Times New Roman" w:hAnsi="Times New Roman" w:cs="Times New Roman"/>
          <w:sz w:val="24"/>
          <w:szCs w:val="24"/>
        </w:rPr>
        <w:t>de 2016, em milhões de reais.</w:t>
      </w:r>
    </w:p>
    <w:p w14:paraId="238859E7" w14:textId="7ED1D493" w:rsidR="006948B5" w:rsidRDefault="006948B5" w:rsidP="00377E23">
      <w:pPr>
        <w:spacing w:after="0" w:line="240" w:lineRule="auto"/>
        <w:contextualSpacing/>
        <w:jc w:val="both"/>
        <w:rPr>
          <w:rFonts w:ascii="Times New Roman" w:eastAsia="Times New Roman" w:hAnsi="Times New Roman" w:cs="Times New Roman"/>
          <w:sz w:val="24"/>
          <w:szCs w:val="24"/>
        </w:rPr>
      </w:pPr>
    </w:p>
    <w:p w14:paraId="4E9E0333" w14:textId="527B6776" w:rsidR="00D01716" w:rsidRDefault="001B1174" w:rsidP="00485478">
      <w:pPr>
        <w:spacing w:after="0" w:line="360" w:lineRule="auto"/>
        <w:ind w:firstLine="720"/>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 xml:space="preserve">Entre 2016 e 2022, a participação do Nordeste no PIB nacional apresentou leve declínio, passando de 14,3% para 13,8%, enquanto </w:t>
      </w:r>
      <w:r w:rsidR="00C929A4">
        <w:rPr>
          <w:rFonts w:ascii="Times New Roman" w:eastAsia="Times New Roman" w:hAnsi="Times New Roman" w:cs="Times New Roman"/>
          <w:sz w:val="24"/>
          <w:szCs w:val="24"/>
        </w:rPr>
        <w:t xml:space="preserve">o </w:t>
      </w:r>
      <w:r w:rsidRPr="002F68A0">
        <w:rPr>
          <w:rFonts w:ascii="Times New Roman" w:eastAsia="Times New Roman" w:hAnsi="Times New Roman" w:cs="Times New Roman"/>
          <w:sz w:val="24"/>
          <w:szCs w:val="24"/>
        </w:rPr>
        <w:t>sudeste manteve sua hegemonia com 53,3%. A região nordestina mostrou forte concentração econômica em três estados</w:t>
      </w:r>
      <w:r w:rsidR="00C929A4">
        <w:rPr>
          <w:rFonts w:ascii="Times New Roman" w:eastAsia="Times New Roman" w:hAnsi="Times New Roman" w:cs="Times New Roman"/>
          <w:sz w:val="24"/>
          <w:szCs w:val="24"/>
        </w:rPr>
        <w:t>:</w:t>
      </w:r>
      <w:r w:rsidRPr="002F68A0">
        <w:rPr>
          <w:rFonts w:ascii="Times New Roman" w:eastAsia="Times New Roman" w:hAnsi="Times New Roman" w:cs="Times New Roman"/>
          <w:sz w:val="24"/>
          <w:szCs w:val="24"/>
        </w:rPr>
        <w:t xml:space="preserve"> Bahia, Pernambuco e Ceará que juntos respondem por 62,1% do PIB regional em 2022. Destacam-se como casos de sucesso Maranhão e o Piauí, que aumentaram sua participação graças ao crescimento acima da média, impulsionado por investimentos em agropecuária e energia renovável. Por outro lado, estados como </w:t>
      </w:r>
      <w:r w:rsidR="005342DC">
        <w:rPr>
          <w:rFonts w:ascii="Times New Roman" w:eastAsia="Times New Roman" w:hAnsi="Times New Roman" w:cs="Times New Roman"/>
          <w:sz w:val="24"/>
          <w:szCs w:val="24"/>
        </w:rPr>
        <w:t>Paraíba</w:t>
      </w:r>
      <w:r w:rsidRPr="002F68A0">
        <w:rPr>
          <w:rFonts w:ascii="Times New Roman" w:eastAsia="Times New Roman" w:hAnsi="Times New Roman" w:cs="Times New Roman"/>
          <w:sz w:val="24"/>
          <w:szCs w:val="24"/>
        </w:rPr>
        <w:t>, Alagoas e Sergipe perderam relevância econômica na região, com um desemp</w:t>
      </w:r>
      <w:r w:rsidR="0051508A">
        <w:rPr>
          <w:rFonts w:ascii="Times New Roman" w:eastAsia="Times New Roman" w:hAnsi="Times New Roman" w:cs="Times New Roman"/>
          <w:sz w:val="24"/>
          <w:szCs w:val="24"/>
        </w:rPr>
        <w:t>enho abaixo da média nordestina. O Centro-Oeste, mesmo tendo como principal atividade econômica o agronegócio tem menor participação que o Nordeste (Tabela 2).</w:t>
      </w:r>
      <w:r w:rsidR="00485478">
        <w:rPr>
          <w:rFonts w:ascii="Times New Roman" w:eastAsia="Times New Roman" w:hAnsi="Times New Roman" w:cs="Times New Roman"/>
          <w:sz w:val="24"/>
          <w:szCs w:val="24"/>
        </w:rPr>
        <w:t xml:space="preserve"> </w:t>
      </w:r>
      <w:r w:rsidRPr="002F68A0">
        <w:rPr>
          <w:rFonts w:ascii="Times New Roman" w:eastAsia="Times New Roman" w:hAnsi="Times New Roman" w:cs="Times New Roman"/>
          <w:sz w:val="24"/>
          <w:szCs w:val="24"/>
        </w:rPr>
        <w:t>Os dados sugerem a necessidade de políticas regionais diferenciadas para estimular os estados que não que estão perdendo participação, com ênfase na diversificação industrial e no fortalecimento de cadeias produtivas estratégicas.</w:t>
      </w:r>
    </w:p>
    <w:p w14:paraId="7772942F" w14:textId="77777777" w:rsidR="0051508A" w:rsidRPr="002F68A0" w:rsidRDefault="0051508A" w:rsidP="00377E23">
      <w:pPr>
        <w:spacing w:after="0" w:line="360" w:lineRule="auto"/>
        <w:ind w:firstLine="720"/>
        <w:contextualSpacing/>
        <w:jc w:val="both"/>
        <w:rPr>
          <w:rFonts w:ascii="Times New Roman" w:eastAsia="Times New Roman" w:hAnsi="Times New Roman" w:cs="Times New Roman"/>
          <w:sz w:val="24"/>
          <w:szCs w:val="24"/>
        </w:rPr>
      </w:pPr>
    </w:p>
    <w:p w14:paraId="6B872445" w14:textId="3B40858B" w:rsidR="00C70286" w:rsidRDefault="001B1174" w:rsidP="00377E23">
      <w:pPr>
        <w:spacing w:after="0" w:line="240" w:lineRule="auto"/>
        <w:contextualSpacing/>
        <w:jc w:val="both"/>
        <w:rPr>
          <w:rFonts w:ascii="Times New Roman" w:hAnsi="Times New Roman" w:cs="Times New Roman"/>
          <w:sz w:val="24"/>
          <w:szCs w:val="24"/>
        </w:rPr>
      </w:pPr>
      <w:r w:rsidRPr="00541D57">
        <w:rPr>
          <w:rFonts w:ascii="Times New Roman" w:eastAsia="Times New Roman" w:hAnsi="Times New Roman" w:cs="Times New Roman"/>
          <w:sz w:val="24"/>
          <w:szCs w:val="24"/>
        </w:rPr>
        <w:t xml:space="preserve">Tabela 2 - Participação do PIB </w:t>
      </w:r>
      <w:r w:rsidR="00FE2759">
        <w:rPr>
          <w:rFonts w:ascii="Times New Roman" w:hAnsi="Times New Roman" w:cs="Times New Roman"/>
          <w:sz w:val="24"/>
          <w:szCs w:val="24"/>
        </w:rPr>
        <w:t>a preços constantes de 2016</w:t>
      </w:r>
      <w:r w:rsidR="00734A37" w:rsidRPr="00541D57">
        <w:rPr>
          <w:rFonts w:ascii="Times New Roman" w:hAnsi="Times New Roman" w:cs="Times New Roman"/>
          <w:sz w:val="24"/>
          <w:szCs w:val="24"/>
        </w:rPr>
        <w:t xml:space="preserve"> (em R$ milhões) – Brasil, </w:t>
      </w:r>
    </w:p>
    <w:p w14:paraId="7A0D8B5D" w14:textId="744E344C" w:rsidR="001B1174" w:rsidRPr="00541D57" w:rsidRDefault="00C70286" w:rsidP="00377E23">
      <w:pPr>
        <w:spacing w:after="0" w:line="240" w:lineRule="auto"/>
        <w:ind w:firstLine="708"/>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734A37" w:rsidRPr="00541D57">
        <w:rPr>
          <w:rFonts w:ascii="Times New Roman" w:hAnsi="Times New Roman" w:cs="Times New Roman"/>
          <w:sz w:val="24"/>
          <w:szCs w:val="24"/>
        </w:rPr>
        <w:t>Nordeste e unidades federativas nordestinas, 2016–2022</w:t>
      </w:r>
    </w:p>
    <w:tbl>
      <w:tblPr>
        <w:tblW w:w="5000" w:type="pct"/>
        <w:tblCellMar>
          <w:left w:w="70" w:type="dxa"/>
          <w:right w:w="70" w:type="dxa"/>
        </w:tblCellMar>
        <w:tblLook w:val="04A0" w:firstRow="1" w:lastRow="0" w:firstColumn="1" w:lastColumn="0" w:noHBand="0" w:noVBand="1"/>
      </w:tblPr>
      <w:tblGrid>
        <w:gridCol w:w="2751"/>
        <w:gridCol w:w="904"/>
        <w:gridCol w:w="904"/>
        <w:gridCol w:w="903"/>
        <w:gridCol w:w="903"/>
        <w:gridCol w:w="903"/>
        <w:gridCol w:w="903"/>
        <w:gridCol w:w="900"/>
      </w:tblGrid>
      <w:tr w:rsidR="001B1174" w:rsidRPr="002F68A0" w14:paraId="721C1A7C" w14:textId="77777777" w:rsidTr="00734A37">
        <w:trPr>
          <w:trHeight w:val="315"/>
        </w:trPr>
        <w:tc>
          <w:tcPr>
            <w:tcW w:w="1516" w:type="pct"/>
            <w:tcBorders>
              <w:top w:val="single" w:sz="4" w:space="0" w:color="auto"/>
              <w:bottom w:val="single" w:sz="4" w:space="0" w:color="auto"/>
              <w:right w:val="single" w:sz="4" w:space="0" w:color="auto"/>
            </w:tcBorders>
            <w:vAlign w:val="center"/>
            <w:hideMark/>
          </w:tcPr>
          <w:p w14:paraId="74A871C2" w14:textId="77777777" w:rsidR="001B1174" w:rsidRPr="002F68A0" w:rsidRDefault="001B1174" w:rsidP="00377E23">
            <w:pPr>
              <w:spacing w:after="0" w:line="240" w:lineRule="auto"/>
              <w:contextualSpacing/>
              <w:jc w:val="both"/>
              <w:rPr>
                <w:rFonts w:ascii="Times New Roman" w:eastAsia="Times New Roman" w:hAnsi="Times New Roman" w:cs="Times New Roman"/>
                <w:bCs/>
                <w:sz w:val="24"/>
                <w:szCs w:val="24"/>
              </w:rPr>
            </w:pPr>
            <w:r w:rsidRPr="002F68A0">
              <w:rPr>
                <w:rFonts w:ascii="Times New Roman" w:eastAsia="Times New Roman" w:hAnsi="Times New Roman" w:cs="Times New Roman"/>
                <w:sz w:val="24"/>
                <w:szCs w:val="24"/>
              </w:rPr>
              <w:t>TERRITÓRIO</w:t>
            </w:r>
          </w:p>
        </w:tc>
        <w:tc>
          <w:tcPr>
            <w:tcW w:w="498" w:type="pct"/>
            <w:tcBorders>
              <w:top w:val="single" w:sz="4" w:space="0" w:color="auto"/>
              <w:left w:val="single" w:sz="4" w:space="0" w:color="auto"/>
              <w:bottom w:val="single" w:sz="4" w:space="0" w:color="auto"/>
              <w:right w:val="single" w:sz="4" w:space="0" w:color="auto"/>
            </w:tcBorders>
            <w:vAlign w:val="center"/>
            <w:hideMark/>
          </w:tcPr>
          <w:p w14:paraId="7D210CCB"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2016</w:t>
            </w:r>
          </w:p>
        </w:tc>
        <w:tc>
          <w:tcPr>
            <w:tcW w:w="498" w:type="pct"/>
            <w:tcBorders>
              <w:top w:val="single" w:sz="4" w:space="0" w:color="auto"/>
              <w:left w:val="single" w:sz="4" w:space="0" w:color="auto"/>
              <w:bottom w:val="single" w:sz="4" w:space="0" w:color="auto"/>
              <w:right w:val="single" w:sz="4" w:space="0" w:color="auto"/>
            </w:tcBorders>
            <w:vAlign w:val="center"/>
            <w:hideMark/>
          </w:tcPr>
          <w:p w14:paraId="77F4C88B"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2017</w:t>
            </w:r>
          </w:p>
        </w:tc>
        <w:tc>
          <w:tcPr>
            <w:tcW w:w="498" w:type="pct"/>
            <w:tcBorders>
              <w:top w:val="single" w:sz="4" w:space="0" w:color="auto"/>
              <w:left w:val="single" w:sz="4" w:space="0" w:color="auto"/>
              <w:bottom w:val="single" w:sz="4" w:space="0" w:color="auto"/>
              <w:right w:val="single" w:sz="4" w:space="0" w:color="auto"/>
            </w:tcBorders>
            <w:vAlign w:val="center"/>
            <w:hideMark/>
          </w:tcPr>
          <w:p w14:paraId="04BE85FE"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2018</w:t>
            </w:r>
          </w:p>
        </w:tc>
        <w:tc>
          <w:tcPr>
            <w:tcW w:w="498" w:type="pct"/>
            <w:tcBorders>
              <w:top w:val="single" w:sz="4" w:space="0" w:color="auto"/>
              <w:left w:val="single" w:sz="4" w:space="0" w:color="auto"/>
              <w:bottom w:val="single" w:sz="4" w:space="0" w:color="auto"/>
              <w:right w:val="single" w:sz="4" w:space="0" w:color="auto"/>
            </w:tcBorders>
            <w:vAlign w:val="center"/>
            <w:hideMark/>
          </w:tcPr>
          <w:p w14:paraId="1C2720BD"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2019</w:t>
            </w:r>
          </w:p>
        </w:tc>
        <w:tc>
          <w:tcPr>
            <w:tcW w:w="498" w:type="pct"/>
            <w:tcBorders>
              <w:top w:val="single" w:sz="4" w:space="0" w:color="auto"/>
              <w:left w:val="single" w:sz="4" w:space="0" w:color="auto"/>
              <w:bottom w:val="single" w:sz="4" w:space="0" w:color="auto"/>
              <w:right w:val="single" w:sz="4" w:space="0" w:color="auto"/>
            </w:tcBorders>
            <w:vAlign w:val="center"/>
            <w:hideMark/>
          </w:tcPr>
          <w:p w14:paraId="241FC6BB"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2020</w:t>
            </w:r>
          </w:p>
        </w:tc>
        <w:tc>
          <w:tcPr>
            <w:tcW w:w="498" w:type="pct"/>
            <w:tcBorders>
              <w:top w:val="single" w:sz="4" w:space="0" w:color="auto"/>
              <w:left w:val="single" w:sz="4" w:space="0" w:color="auto"/>
              <w:bottom w:val="single" w:sz="4" w:space="0" w:color="auto"/>
              <w:right w:val="single" w:sz="4" w:space="0" w:color="auto"/>
            </w:tcBorders>
            <w:vAlign w:val="center"/>
            <w:hideMark/>
          </w:tcPr>
          <w:p w14:paraId="7217C621"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2021</w:t>
            </w:r>
          </w:p>
        </w:tc>
        <w:tc>
          <w:tcPr>
            <w:tcW w:w="497" w:type="pct"/>
            <w:tcBorders>
              <w:top w:val="single" w:sz="4" w:space="0" w:color="auto"/>
              <w:left w:val="single" w:sz="4" w:space="0" w:color="auto"/>
              <w:bottom w:val="single" w:sz="4" w:space="0" w:color="auto"/>
            </w:tcBorders>
            <w:vAlign w:val="center"/>
            <w:hideMark/>
          </w:tcPr>
          <w:p w14:paraId="1518C3CC"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2022</w:t>
            </w:r>
          </w:p>
        </w:tc>
      </w:tr>
      <w:tr w:rsidR="001B1174" w:rsidRPr="002F68A0" w14:paraId="51D85674" w14:textId="77777777" w:rsidTr="00734A37">
        <w:trPr>
          <w:trHeight w:val="315"/>
        </w:trPr>
        <w:tc>
          <w:tcPr>
            <w:tcW w:w="1516" w:type="pct"/>
            <w:tcBorders>
              <w:top w:val="single" w:sz="4" w:space="0" w:color="auto"/>
            </w:tcBorders>
            <w:vAlign w:val="center"/>
            <w:hideMark/>
          </w:tcPr>
          <w:p w14:paraId="3B30FBC9" w14:textId="77777777" w:rsidR="001B1174" w:rsidRPr="002F68A0" w:rsidRDefault="001B1174" w:rsidP="00377E23">
            <w:pPr>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Brasil</w:t>
            </w:r>
          </w:p>
        </w:tc>
        <w:tc>
          <w:tcPr>
            <w:tcW w:w="498" w:type="pct"/>
            <w:tcBorders>
              <w:top w:val="single" w:sz="4" w:space="0" w:color="auto"/>
            </w:tcBorders>
            <w:vAlign w:val="center"/>
            <w:hideMark/>
          </w:tcPr>
          <w:p w14:paraId="613827DB"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100</w:t>
            </w:r>
          </w:p>
        </w:tc>
        <w:tc>
          <w:tcPr>
            <w:tcW w:w="498" w:type="pct"/>
            <w:tcBorders>
              <w:top w:val="single" w:sz="4" w:space="0" w:color="auto"/>
            </w:tcBorders>
            <w:vAlign w:val="center"/>
            <w:hideMark/>
          </w:tcPr>
          <w:p w14:paraId="425DF498"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100</w:t>
            </w:r>
          </w:p>
        </w:tc>
        <w:tc>
          <w:tcPr>
            <w:tcW w:w="498" w:type="pct"/>
            <w:tcBorders>
              <w:top w:val="single" w:sz="4" w:space="0" w:color="auto"/>
            </w:tcBorders>
            <w:vAlign w:val="center"/>
            <w:hideMark/>
          </w:tcPr>
          <w:p w14:paraId="297D449C"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100</w:t>
            </w:r>
          </w:p>
        </w:tc>
        <w:tc>
          <w:tcPr>
            <w:tcW w:w="498" w:type="pct"/>
            <w:tcBorders>
              <w:top w:val="single" w:sz="4" w:space="0" w:color="auto"/>
            </w:tcBorders>
            <w:vAlign w:val="center"/>
            <w:hideMark/>
          </w:tcPr>
          <w:p w14:paraId="45BDE2E6"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100</w:t>
            </w:r>
          </w:p>
        </w:tc>
        <w:tc>
          <w:tcPr>
            <w:tcW w:w="498" w:type="pct"/>
            <w:tcBorders>
              <w:top w:val="single" w:sz="4" w:space="0" w:color="auto"/>
            </w:tcBorders>
            <w:vAlign w:val="center"/>
            <w:hideMark/>
          </w:tcPr>
          <w:p w14:paraId="20B65D4F"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100</w:t>
            </w:r>
          </w:p>
        </w:tc>
        <w:tc>
          <w:tcPr>
            <w:tcW w:w="498" w:type="pct"/>
            <w:tcBorders>
              <w:top w:val="single" w:sz="4" w:space="0" w:color="auto"/>
            </w:tcBorders>
            <w:vAlign w:val="center"/>
            <w:hideMark/>
          </w:tcPr>
          <w:p w14:paraId="0F266BAE"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100</w:t>
            </w:r>
          </w:p>
        </w:tc>
        <w:tc>
          <w:tcPr>
            <w:tcW w:w="497" w:type="pct"/>
            <w:tcBorders>
              <w:top w:val="single" w:sz="4" w:space="0" w:color="auto"/>
            </w:tcBorders>
            <w:vAlign w:val="center"/>
            <w:hideMark/>
          </w:tcPr>
          <w:p w14:paraId="4FFDACBB"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100</w:t>
            </w:r>
          </w:p>
        </w:tc>
      </w:tr>
      <w:tr w:rsidR="001B1174" w:rsidRPr="002F68A0" w14:paraId="6545016D" w14:textId="77777777" w:rsidTr="00734A37">
        <w:trPr>
          <w:trHeight w:val="315"/>
        </w:trPr>
        <w:tc>
          <w:tcPr>
            <w:tcW w:w="1516" w:type="pct"/>
            <w:shd w:val="clear" w:color="000000" w:fill="FFFFFF"/>
            <w:vAlign w:val="center"/>
            <w:hideMark/>
          </w:tcPr>
          <w:p w14:paraId="737975C8" w14:textId="77777777" w:rsidR="001B1174" w:rsidRPr="002F68A0" w:rsidRDefault="001B1174" w:rsidP="00377E23">
            <w:pPr>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Norte</w:t>
            </w:r>
          </w:p>
        </w:tc>
        <w:tc>
          <w:tcPr>
            <w:tcW w:w="498" w:type="pct"/>
            <w:shd w:val="clear" w:color="000000" w:fill="FFFFFF"/>
            <w:vAlign w:val="center"/>
            <w:hideMark/>
          </w:tcPr>
          <w:p w14:paraId="15A86B1A"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5,4</w:t>
            </w:r>
          </w:p>
        </w:tc>
        <w:tc>
          <w:tcPr>
            <w:tcW w:w="498" w:type="pct"/>
            <w:shd w:val="clear" w:color="000000" w:fill="FFFFFF"/>
            <w:vAlign w:val="center"/>
            <w:hideMark/>
          </w:tcPr>
          <w:p w14:paraId="79217838"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5,6</w:t>
            </w:r>
          </w:p>
        </w:tc>
        <w:tc>
          <w:tcPr>
            <w:tcW w:w="498" w:type="pct"/>
            <w:shd w:val="clear" w:color="000000" w:fill="FFFFFF"/>
            <w:vAlign w:val="center"/>
            <w:hideMark/>
          </w:tcPr>
          <w:p w14:paraId="140DE9E4"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5,5</w:t>
            </w:r>
          </w:p>
        </w:tc>
        <w:tc>
          <w:tcPr>
            <w:tcW w:w="498" w:type="pct"/>
            <w:shd w:val="clear" w:color="000000" w:fill="FFFFFF"/>
            <w:vAlign w:val="center"/>
            <w:hideMark/>
          </w:tcPr>
          <w:p w14:paraId="74D298E1"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5,7</w:t>
            </w:r>
          </w:p>
        </w:tc>
        <w:tc>
          <w:tcPr>
            <w:tcW w:w="498" w:type="pct"/>
            <w:shd w:val="clear" w:color="000000" w:fill="FFFFFF"/>
            <w:vAlign w:val="center"/>
            <w:hideMark/>
          </w:tcPr>
          <w:p w14:paraId="4E3FF3C3"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6,3</w:t>
            </w:r>
          </w:p>
        </w:tc>
        <w:tc>
          <w:tcPr>
            <w:tcW w:w="498" w:type="pct"/>
            <w:shd w:val="clear" w:color="000000" w:fill="FFFFFF"/>
            <w:vAlign w:val="center"/>
            <w:hideMark/>
          </w:tcPr>
          <w:p w14:paraId="06775BC8"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6,3</w:t>
            </w:r>
          </w:p>
        </w:tc>
        <w:tc>
          <w:tcPr>
            <w:tcW w:w="497" w:type="pct"/>
            <w:shd w:val="clear" w:color="000000" w:fill="FFFFFF"/>
            <w:vAlign w:val="center"/>
            <w:hideMark/>
          </w:tcPr>
          <w:p w14:paraId="2C08B643"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5,7</w:t>
            </w:r>
          </w:p>
        </w:tc>
      </w:tr>
      <w:tr w:rsidR="001B1174" w:rsidRPr="002F68A0" w14:paraId="501D95DF" w14:textId="77777777" w:rsidTr="00734A37">
        <w:trPr>
          <w:trHeight w:val="315"/>
        </w:trPr>
        <w:tc>
          <w:tcPr>
            <w:tcW w:w="1516" w:type="pct"/>
            <w:shd w:val="clear" w:color="000000" w:fill="FFFFFF"/>
            <w:vAlign w:val="center"/>
            <w:hideMark/>
          </w:tcPr>
          <w:p w14:paraId="2354B1AE" w14:textId="77777777" w:rsidR="001B1174" w:rsidRPr="002F68A0" w:rsidRDefault="001B1174" w:rsidP="00377E23">
            <w:pPr>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Nordeste</w:t>
            </w:r>
          </w:p>
        </w:tc>
        <w:tc>
          <w:tcPr>
            <w:tcW w:w="498" w:type="pct"/>
            <w:shd w:val="clear" w:color="000000" w:fill="FFFFFF"/>
            <w:vAlign w:val="center"/>
            <w:hideMark/>
          </w:tcPr>
          <w:p w14:paraId="03311617"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14,3</w:t>
            </w:r>
          </w:p>
        </w:tc>
        <w:tc>
          <w:tcPr>
            <w:tcW w:w="498" w:type="pct"/>
            <w:shd w:val="clear" w:color="000000" w:fill="FFFFFF"/>
            <w:vAlign w:val="center"/>
            <w:hideMark/>
          </w:tcPr>
          <w:p w14:paraId="0D291479"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14,5</w:t>
            </w:r>
          </w:p>
        </w:tc>
        <w:tc>
          <w:tcPr>
            <w:tcW w:w="498" w:type="pct"/>
            <w:shd w:val="clear" w:color="000000" w:fill="FFFFFF"/>
            <w:vAlign w:val="center"/>
            <w:hideMark/>
          </w:tcPr>
          <w:p w14:paraId="7C032E90"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14,3</w:t>
            </w:r>
          </w:p>
        </w:tc>
        <w:tc>
          <w:tcPr>
            <w:tcW w:w="498" w:type="pct"/>
            <w:shd w:val="clear" w:color="000000" w:fill="FFFFFF"/>
            <w:vAlign w:val="center"/>
            <w:hideMark/>
          </w:tcPr>
          <w:p w14:paraId="211E3B86"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14,2</w:t>
            </w:r>
          </w:p>
        </w:tc>
        <w:tc>
          <w:tcPr>
            <w:tcW w:w="498" w:type="pct"/>
            <w:shd w:val="clear" w:color="000000" w:fill="FFFFFF"/>
            <w:vAlign w:val="center"/>
            <w:hideMark/>
          </w:tcPr>
          <w:p w14:paraId="1FDE398E"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14,2</w:t>
            </w:r>
          </w:p>
        </w:tc>
        <w:tc>
          <w:tcPr>
            <w:tcW w:w="498" w:type="pct"/>
            <w:shd w:val="clear" w:color="000000" w:fill="FFFFFF"/>
            <w:vAlign w:val="center"/>
            <w:hideMark/>
          </w:tcPr>
          <w:p w14:paraId="2B52C711"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13,8</w:t>
            </w:r>
          </w:p>
        </w:tc>
        <w:tc>
          <w:tcPr>
            <w:tcW w:w="497" w:type="pct"/>
            <w:shd w:val="clear" w:color="000000" w:fill="FFFFFF"/>
            <w:vAlign w:val="center"/>
            <w:hideMark/>
          </w:tcPr>
          <w:p w14:paraId="21AB9FC9"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13,8</w:t>
            </w:r>
          </w:p>
        </w:tc>
      </w:tr>
      <w:tr w:rsidR="001B1174" w:rsidRPr="002F68A0" w14:paraId="6353BA10" w14:textId="77777777" w:rsidTr="00734A37">
        <w:trPr>
          <w:trHeight w:val="315"/>
        </w:trPr>
        <w:tc>
          <w:tcPr>
            <w:tcW w:w="1516" w:type="pct"/>
            <w:vAlign w:val="center"/>
            <w:hideMark/>
          </w:tcPr>
          <w:p w14:paraId="1A0B5A2A" w14:textId="77777777" w:rsidR="001B1174" w:rsidRPr="002F68A0" w:rsidRDefault="001B1174" w:rsidP="00377E23">
            <w:pPr>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 xml:space="preserve">         Maranhão</w:t>
            </w:r>
          </w:p>
        </w:tc>
        <w:tc>
          <w:tcPr>
            <w:tcW w:w="498" w:type="pct"/>
            <w:vAlign w:val="center"/>
            <w:hideMark/>
          </w:tcPr>
          <w:p w14:paraId="408EC20B"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9,5</w:t>
            </w:r>
          </w:p>
        </w:tc>
        <w:tc>
          <w:tcPr>
            <w:tcW w:w="498" w:type="pct"/>
            <w:vAlign w:val="center"/>
            <w:hideMark/>
          </w:tcPr>
          <w:p w14:paraId="3FB6F018"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9,4</w:t>
            </w:r>
          </w:p>
        </w:tc>
        <w:tc>
          <w:tcPr>
            <w:tcW w:w="498" w:type="pct"/>
            <w:vAlign w:val="center"/>
            <w:hideMark/>
          </w:tcPr>
          <w:p w14:paraId="6825A939"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9,8</w:t>
            </w:r>
          </w:p>
        </w:tc>
        <w:tc>
          <w:tcPr>
            <w:tcW w:w="498" w:type="pct"/>
            <w:vAlign w:val="center"/>
            <w:hideMark/>
          </w:tcPr>
          <w:p w14:paraId="07D9EE1D"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9,3</w:t>
            </w:r>
          </w:p>
        </w:tc>
        <w:tc>
          <w:tcPr>
            <w:tcW w:w="498" w:type="pct"/>
            <w:vAlign w:val="center"/>
            <w:hideMark/>
          </w:tcPr>
          <w:p w14:paraId="4E90926B"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9,9</w:t>
            </w:r>
          </w:p>
        </w:tc>
        <w:tc>
          <w:tcPr>
            <w:tcW w:w="498" w:type="pct"/>
            <w:vAlign w:val="center"/>
            <w:hideMark/>
          </w:tcPr>
          <w:p w14:paraId="1B4E0271"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10,1</w:t>
            </w:r>
          </w:p>
        </w:tc>
        <w:tc>
          <w:tcPr>
            <w:tcW w:w="497" w:type="pct"/>
            <w:vAlign w:val="center"/>
            <w:hideMark/>
          </w:tcPr>
          <w:p w14:paraId="1AC06E4A"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10,1</w:t>
            </w:r>
          </w:p>
        </w:tc>
      </w:tr>
      <w:tr w:rsidR="001B1174" w:rsidRPr="002F68A0" w14:paraId="2FAFA109" w14:textId="77777777" w:rsidTr="00734A37">
        <w:trPr>
          <w:trHeight w:val="315"/>
        </w:trPr>
        <w:tc>
          <w:tcPr>
            <w:tcW w:w="1516" w:type="pct"/>
            <w:vAlign w:val="center"/>
            <w:hideMark/>
          </w:tcPr>
          <w:p w14:paraId="1E15E5F6" w14:textId="77777777" w:rsidR="001B1174" w:rsidRPr="002F68A0" w:rsidRDefault="001B1174" w:rsidP="00377E23">
            <w:pPr>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 xml:space="preserve">         Piauí</w:t>
            </w:r>
          </w:p>
        </w:tc>
        <w:tc>
          <w:tcPr>
            <w:tcW w:w="498" w:type="pct"/>
            <w:vAlign w:val="center"/>
            <w:hideMark/>
          </w:tcPr>
          <w:p w14:paraId="4923C24B"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4,6</w:t>
            </w:r>
          </w:p>
        </w:tc>
        <w:tc>
          <w:tcPr>
            <w:tcW w:w="498" w:type="pct"/>
            <w:vAlign w:val="center"/>
            <w:hideMark/>
          </w:tcPr>
          <w:p w14:paraId="7BE18C5C"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4,8</w:t>
            </w:r>
          </w:p>
        </w:tc>
        <w:tc>
          <w:tcPr>
            <w:tcW w:w="498" w:type="pct"/>
            <w:vAlign w:val="center"/>
            <w:hideMark/>
          </w:tcPr>
          <w:p w14:paraId="16D2B2D0"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5</w:t>
            </w:r>
          </w:p>
        </w:tc>
        <w:tc>
          <w:tcPr>
            <w:tcW w:w="498" w:type="pct"/>
            <w:vAlign w:val="center"/>
            <w:hideMark/>
          </w:tcPr>
          <w:p w14:paraId="2C22A61D"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5</w:t>
            </w:r>
          </w:p>
        </w:tc>
        <w:tc>
          <w:tcPr>
            <w:tcW w:w="498" w:type="pct"/>
            <w:vAlign w:val="center"/>
            <w:hideMark/>
          </w:tcPr>
          <w:p w14:paraId="484B6420"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5,2</w:t>
            </w:r>
          </w:p>
        </w:tc>
        <w:tc>
          <w:tcPr>
            <w:tcW w:w="498" w:type="pct"/>
            <w:vAlign w:val="center"/>
            <w:hideMark/>
          </w:tcPr>
          <w:p w14:paraId="0F4D054E"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5,2</w:t>
            </w:r>
          </w:p>
        </w:tc>
        <w:tc>
          <w:tcPr>
            <w:tcW w:w="497" w:type="pct"/>
            <w:vAlign w:val="center"/>
            <w:hideMark/>
          </w:tcPr>
          <w:p w14:paraId="18D14779"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5,2</w:t>
            </w:r>
          </w:p>
        </w:tc>
      </w:tr>
      <w:tr w:rsidR="001B1174" w:rsidRPr="002F68A0" w14:paraId="4719B6D5" w14:textId="77777777" w:rsidTr="00734A37">
        <w:trPr>
          <w:trHeight w:val="315"/>
        </w:trPr>
        <w:tc>
          <w:tcPr>
            <w:tcW w:w="1516" w:type="pct"/>
            <w:vAlign w:val="center"/>
            <w:hideMark/>
          </w:tcPr>
          <w:p w14:paraId="7FC192F5" w14:textId="77777777" w:rsidR="001B1174" w:rsidRPr="002F68A0" w:rsidRDefault="001B1174" w:rsidP="00377E23">
            <w:pPr>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 xml:space="preserve">         Ceará</w:t>
            </w:r>
          </w:p>
        </w:tc>
        <w:tc>
          <w:tcPr>
            <w:tcW w:w="498" w:type="pct"/>
            <w:vAlign w:val="center"/>
            <w:hideMark/>
          </w:tcPr>
          <w:p w14:paraId="402FC627"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15,4</w:t>
            </w:r>
          </w:p>
        </w:tc>
        <w:tc>
          <w:tcPr>
            <w:tcW w:w="498" w:type="pct"/>
            <w:vAlign w:val="center"/>
            <w:hideMark/>
          </w:tcPr>
          <w:p w14:paraId="03D19778"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15,5</w:t>
            </w:r>
          </w:p>
        </w:tc>
        <w:tc>
          <w:tcPr>
            <w:tcW w:w="498" w:type="pct"/>
            <w:vAlign w:val="center"/>
            <w:hideMark/>
          </w:tcPr>
          <w:p w14:paraId="1AAC8D25"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15,5</w:t>
            </w:r>
          </w:p>
        </w:tc>
        <w:tc>
          <w:tcPr>
            <w:tcW w:w="498" w:type="pct"/>
            <w:vAlign w:val="center"/>
            <w:hideMark/>
          </w:tcPr>
          <w:p w14:paraId="68AF80E8"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15,6</w:t>
            </w:r>
          </w:p>
        </w:tc>
        <w:tc>
          <w:tcPr>
            <w:tcW w:w="498" w:type="pct"/>
            <w:vAlign w:val="center"/>
            <w:hideMark/>
          </w:tcPr>
          <w:p w14:paraId="2FF13486"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15,5</w:t>
            </w:r>
          </w:p>
        </w:tc>
        <w:tc>
          <w:tcPr>
            <w:tcW w:w="498" w:type="pct"/>
            <w:vAlign w:val="center"/>
            <w:hideMark/>
          </w:tcPr>
          <w:p w14:paraId="5378D644"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15,7</w:t>
            </w:r>
          </w:p>
        </w:tc>
        <w:tc>
          <w:tcPr>
            <w:tcW w:w="497" w:type="pct"/>
            <w:vAlign w:val="center"/>
            <w:hideMark/>
          </w:tcPr>
          <w:p w14:paraId="5DC0C385"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15,4</w:t>
            </w:r>
          </w:p>
        </w:tc>
      </w:tr>
      <w:tr w:rsidR="001B1174" w:rsidRPr="002F68A0" w14:paraId="7C29316F" w14:textId="77777777" w:rsidTr="00734A37">
        <w:trPr>
          <w:trHeight w:val="315"/>
        </w:trPr>
        <w:tc>
          <w:tcPr>
            <w:tcW w:w="1516" w:type="pct"/>
            <w:vAlign w:val="center"/>
            <w:hideMark/>
          </w:tcPr>
          <w:p w14:paraId="4087EA56" w14:textId="77777777" w:rsidR="001B1174" w:rsidRPr="002F68A0" w:rsidRDefault="001B1174" w:rsidP="00377E23">
            <w:pPr>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 xml:space="preserve">         Rio Grande do Norte</w:t>
            </w:r>
          </w:p>
        </w:tc>
        <w:tc>
          <w:tcPr>
            <w:tcW w:w="498" w:type="pct"/>
            <w:vAlign w:val="center"/>
            <w:hideMark/>
          </w:tcPr>
          <w:p w14:paraId="3935C0BB"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6,6</w:t>
            </w:r>
          </w:p>
        </w:tc>
        <w:tc>
          <w:tcPr>
            <w:tcW w:w="498" w:type="pct"/>
            <w:vAlign w:val="center"/>
            <w:hideMark/>
          </w:tcPr>
          <w:p w14:paraId="5E2F9774"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6,7</w:t>
            </w:r>
          </w:p>
        </w:tc>
        <w:tc>
          <w:tcPr>
            <w:tcW w:w="498" w:type="pct"/>
            <w:vAlign w:val="center"/>
            <w:hideMark/>
          </w:tcPr>
          <w:p w14:paraId="62D22EF4"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6,7</w:t>
            </w:r>
          </w:p>
        </w:tc>
        <w:tc>
          <w:tcPr>
            <w:tcW w:w="498" w:type="pct"/>
            <w:vAlign w:val="center"/>
            <w:hideMark/>
          </w:tcPr>
          <w:p w14:paraId="34604379"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6,8</w:t>
            </w:r>
          </w:p>
        </w:tc>
        <w:tc>
          <w:tcPr>
            <w:tcW w:w="498" w:type="pct"/>
            <w:vAlign w:val="center"/>
            <w:hideMark/>
          </w:tcPr>
          <w:p w14:paraId="6C0943F5"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6,6</w:t>
            </w:r>
          </w:p>
        </w:tc>
        <w:tc>
          <w:tcPr>
            <w:tcW w:w="498" w:type="pct"/>
            <w:vAlign w:val="center"/>
            <w:hideMark/>
          </w:tcPr>
          <w:p w14:paraId="3A810763"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6,5</w:t>
            </w:r>
          </w:p>
        </w:tc>
        <w:tc>
          <w:tcPr>
            <w:tcW w:w="497" w:type="pct"/>
            <w:vAlign w:val="center"/>
            <w:hideMark/>
          </w:tcPr>
          <w:p w14:paraId="030544B3"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6,8</w:t>
            </w:r>
          </w:p>
        </w:tc>
      </w:tr>
      <w:tr w:rsidR="001B1174" w:rsidRPr="002F68A0" w14:paraId="77303787" w14:textId="77777777" w:rsidTr="00734A37">
        <w:trPr>
          <w:trHeight w:val="315"/>
        </w:trPr>
        <w:tc>
          <w:tcPr>
            <w:tcW w:w="1516" w:type="pct"/>
            <w:vAlign w:val="center"/>
            <w:hideMark/>
          </w:tcPr>
          <w:p w14:paraId="535A682F" w14:textId="4111BD17" w:rsidR="001B1174" w:rsidRPr="002F68A0" w:rsidRDefault="001B1174" w:rsidP="00377E23">
            <w:pPr>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 xml:space="preserve">         </w:t>
            </w:r>
            <w:r w:rsidR="005342DC">
              <w:rPr>
                <w:rFonts w:ascii="Times New Roman" w:eastAsia="Times New Roman" w:hAnsi="Times New Roman" w:cs="Times New Roman"/>
                <w:sz w:val="24"/>
                <w:szCs w:val="24"/>
              </w:rPr>
              <w:t>Paraíba</w:t>
            </w:r>
          </w:p>
        </w:tc>
        <w:tc>
          <w:tcPr>
            <w:tcW w:w="498" w:type="pct"/>
            <w:vAlign w:val="center"/>
            <w:hideMark/>
          </w:tcPr>
          <w:p w14:paraId="4E5BC364"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6,6</w:t>
            </w:r>
          </w:p>
        </w:tc>
        <w:tc>
          <w:tcPr>
            <w:tcW w:w="498" w:type="pct"/>
            <w:vAlign w:val="center"/>
            <w:hideMark/>
          </w:tcPr>
          <w:p w14:paraId="3163B7E2"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6,5</w:t>
            </w:r>
          </w:p>
        </w:tc>
        <w:tc>
          <w:tcPr>
            <w:tcW w:w="498" w:type="pct"/>
            <w:vAlign w:val="center"/>
            <w:hideMark/>
          </w:tcPr>
          <w:p w14:paraId="599229CC"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6,4</w:t>
            </w:r>
          </w:p>
        </w:tc>
        <w:tc>
          <w:tcPr>
            <w:tcW w:w="498" w:type="pct"/>
            <w:vAlign w:val="center"/>
            <w:hideMark/>
          </w:tcPr>
          <w:p w14:paraId="575A6900"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6,5</w:t>
            </w:r>
          </w:p>
        </w:tc>
        <w:tc>
          <w:tcPr>
            <w:tcW w:w="498" w:type="pct"/>
            <w:vAlign w:val="center"/>
            <w:hideMark/>
          </w:tcPr>
          <w:p w14:paraId="427B0270"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6,5</w:t>
            </w:r>
          </w:p>
        </w:tc>
        <w:tc>
          <w:tcPr>
            <w:tcW w:w="498" w:type="pct"/>
            <w:vAlign w:val="center"/>
            <w:hideMark/>
          </w:tcPr>
          <w:p w14:paraId="04194993"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6,2</w:t>
            </w:r>
          </w:p>
        </w:tc>
        <w:tc>
          <w:tcPr>
            <w:tcW w:w="497" w:type="pct"/>
            <w:vAlign w:val="center"/>
            <w:hideMark/>
          </w:tcPr>
          <w:p w14:paraId="5928396F"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6,2</w:t>
            </w:r>
          </w:p>
        </w:tc>
      </w:tr>
      <w:tr w:rsidR="001B1174" w:rsidRPr="002F68A0" w14:paraId="072FD785" w14:textId="77777777" w:rsidTr="00734A37">
        <w:trPr>
          <w:trHeight w:val="315"/>
        </w:trPr>
        <w:tc>
          <w:tcPr>
            <w:tcW w:w="1516" w:type="pct"/>
            <w:vAlign w:val="center"/>
            <w:hideMark/>
          </w:tcPr>
          <w:p w14:paraId="0FCF3EF1" w14:textId="77777777" w:rsidR="001B1174" w:rsidRPr="002F68A0" w:rsidRDefault="001B1174" w:rsidP="00377E23">
            <w:pPr>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 xml:space="preserve">         Pernambuco</w:t>
            </w:r>
          </w:p>
        </w:tc>
        <w:tc>
          <w:tcPr>
            <w:tcW w:w="498" w:type="pct"/>
            <w:vAlign w:val="center"/>
            <w:hideMark/>
          </w:tcPr>
          <w:p w14:paraId="1CAE51A2"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18,6</w:t>
            </w:r>
          </w:p>
        </w:tc>
        <w:tc>
          <w:tcPr>
            <w:tcW w:w="498" w:type="pct"/>
            <w:vAlign w:val="center"/>
            <w:hideMark/>
          </w:tcPr>
          <w:p w14:paraId="667E8286"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19</w:t>
            </w:r>
          </w:p>
        </w:tc>
        <w:tc>
          <w:tcPr>
            <w:tcW w:w="498" w:type="pct"/>
            <w:vAlign w:val="center"/>
            <w:hideMark/>
          </w:tcPr>
          <w:p w14:paraId="1E62443F"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18,5</w:t>
            </w:r>
          </w:p>
        </w:tc>
        <w:tc>
          <w:tcPr>
            <w:tcW w:w="498" w:type="pct"/>
            <w:vAlign w:val="center"/>
            <w:hideMark/>
          </w:tcPr>
          <w:p w14:paraId="3AE0D823"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18,9</w:t>
            </w:r>
          </w:p>
        </w:tc>
        <w:tc>
          <w:tcPr>
            <w:tcW w:w="498" w:type="pct"/>
            <w:vAlign w:val="center"/>
            <w:hideMark/>
          </w:tcPr>
          <w:p w14:paraId="5ED099D8"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17,9</w:t>
            </w:r>
          </w:p>
        </w:tc>
        <w:tc>
          <w:tcPr>
            <w:tcW w:w="498" w:type="pct"/>
            <w:vAlign w:val="center"/>
            <w:hideMark/>
          </w:tcPr>
          <w:p w14:paraId="03AAD93A"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17,8</w:t>
            </w:r>
          </w:p>
        </w:tc>
        <w:tc>
          <w:tcPr>
            <w:tcW w:w="497" w:type="pct"/>
            <w:vAlign w:val="center"/>
            <w:hideMark/>
          </w:tcPr>
          <w:p w14:paraId="4C5C2CCF"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17,7</w:t>
            </w:r>
          </w:p>
        </w:tc>
      </w:tr>
      <w:tr w:rsidR="001B1174" w:rsidRPr="002F68A0" w14:paraId="70208E15" w14:textId="77777777" w:rsidTr="00734A37">
        <w:trPr>
          <w:trHeight w:val="315"/>
        </w:trPr>
        <w:tc>
          <w:tcPr>
            <w:tcW w:w="1516" w:type="pct"/>
            <w:vAlign w:val="center"/>
            <w:hideMark/>
          </w:tcPr>
          <w:p w14:paraId="516BC662" w14:textId="77777777" w:rsidR="001B1174" w:rsidRPr="002F68A0" w:rsidRDefault="001B1174" w:rsidP="00377E23">
            <w:pPr>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 xml:space="preserve">         Alagoas</w:t>
            </w:r>
          </w:p>
        </w:tc>
        <w:tc>
          <w:tcPr>
            <w:tcW w:w="498" w:type="pct"/>
            <w:vAlign w:val="center"/>
            <w:hideMark/>
          </w:tcPr>
          <w:p w14:paraId="2EA678DE"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5,5</w:t>
            </w:r>
          </w:p>
        </w:tc>
        <w:tc>
          <w:tcPr>
            <w:tcW w:w="498" w:type="pct"/>
            <w:vAlign w:val="center"/>
            <w:hideMark/>
          </w:tcPr>
          <w:p w14:paraId="43779944"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5,5</w:t>
            </w:r>
          </w:p>
        </w:tc>
        <w:tc>
          <w:tcPr>
            <w:tcW w:w="498" w:type="pct"/>
            <w:vAlign w:val="center"/>
            <w:hideMark/>
          </w:tcPr>
          <w:p w14:paraId="5E3F9D84"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5,4</w:t>
            </w:r>
          </w:p>
        </w:tc>
        <w:tc>
          <w:tcPr>
            <w:tcW w:w="498" w:type="pct"/>
            <w:vAlign w:val="center"/>
            <w:hideMark/>
          </w:tcPr>
          <w:p w14:paraId="498ACCA9"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5,6</w:t>
            </w:r>
          </w:p>
        </w:tc>
        <w:tc>
          <w:tcPr>
            <w:tcW w:w="498" w:type="pct"/>
            <w:vAlign w:val="center"/>
            <w:hideMark/>
          </w:tcPr>
          <w:p w14:paraId="6CDA44F6"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5,9</w:t>
            </w:r>
          </w:p>
        </w:tc>
        <w:tc>
          <w:tcPr>
            <w:tcW w:w="498" w:type="pct"/>
            <w:vAlign w:val="center"/>
            <w:hideMark/>
          </w:tcPr>
          <w:p w14:paraId="0C947BD8"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6,1</w:t>
            </w:r>
          </w:p>
        </w:tc>
        <w:tc>
          <w:tcPr>
            <w:tcW w:w="497" w:type="pct"/>
            <w:vAlign w:val="center"/>
            <w:hideMark/>
          </w:tcPr>
          <w:p w14:paraId="375FC54B"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5,5</w:t>
            </w:r>
          </w:p>
        </w:tc>
      </w:tr>
      <w:tr w:rsidR="001B1174" w:rsidRPr="002F68A0" w14:paraId="3170FB60" w14:textId="77777777" w:rsidTr="00734A37">
        <w:trPr>
          <w:trHeight w:val="315"/>
        </w:trPr>
        <w:tc>
          <w:tcPr>
            <w:tcW w:w="1516" w:type="pct"/>
            <w:vAlign w:val="center"/>
            <w:hideMark/>
          </w:tcPr>
          <w:p w14:paraId="2BF7B28B" w14:textId="77777777" w:rsidR="001B1174" w:rsidRPr="002F68A0" w:rsidRDefault="001B1174" w:rsidP="00377E23">
            <w:pPr>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 xml:space="preserve">         Sergipe</w:t>
            </w:r>
          </w:p>
        </w:tc>
        <w:tc>
          <w:tcPr>
            <w:tcW w:w="498" w:type="pct"/>
            <w:vAlign w:val="center"/>
            <w:hideMark/>
          </w:tcPr>
          <w:p w14:paraId="58893C29"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4,3</w:t>
            </w:r>
          </w:p>
        </w:tc>
        <w:tc>
          <w:tcPr>
            <w:tcW w:w="498" w:type="pct"/>
            <w:vAlign w:val="center"/>
            <w:hideMark/>
          </w:tcPr>
          <w:p w14:paraId="23D5DD8B"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4,3</w:t>
            </w:r>
          </w:p>
        </w:tc>
        <w:tc>
          <w:tcPr>
            <w:tcW w:w="498" w:type="pct"/>
            <w:vAlign w:val="center"/>
            <w:hideMark/>
          </w:tcPr>
          <w:p w14:paraId="5EA0DF82"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4,2</w:t>
            </w:r>
          </w:p>
        </w:tc>
        <w:tc>
          <w:tcPr>
            <w:tcW w:w="498" w:type="pct"/>
            <w:vAlign w:val="center"/>
            <w:hideMark/>
          </w:tcPr>
          <w:p w14:paraId="5CAB590A"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4,3</w:t>
            </w:r>
          </w:p>
        </w:tc>
        <w:tc>
          <w:tcPr>
            <w:tcW w:w="498" w:type="pct"/>
            <w:vAlign w:val="center"/>
            <w:hideMark/>
          </w:tcPr>
          <w:p w14:paraId="3483B42B"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4,2</w:t>
            </w:r>
          </w:p>
        </w:tc>
        <w:tc>
          <w:tcPr>
            <w:tcW w:w="498" w:type="pct"/>
            <w:vAlign w:val="center"/>
            <w:hideMark/>
          </w:tcPr>
          <w:p w14:paraId="3BA39FCD"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4,2</w:t>
            </w:r>
          </w:p>
        </w:tc>
        <w:tc>
          <w:tcPr>
            <w:tcW w:w="497" w:type="pct"/>
            <w:vAlign w:val="center"/>
            <w:hideMark/>
          </w:tcPr>
          <w:p w14:paraId="0F364E92"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4,1</w:t>
            </w:r>
          </w:p>
        </w:tc>
      </w:tr>
      <w:tr w:rsidR="001B1174" w:rsidRPr="002F68A0" w14:paraId="04C03102" w14:textId="77777777" w:rsidTr="00734A37">
        <w:trPr>
          <w:trHeight w:val="315"/>
        </w:trPr>
        <w:tc>
          <w:tcPr>
            <w:tcW w:w="1516" w:type="pct"/>
            <w:vAlign w:val="center"/>
            <w:hideMark/>
          </w:tcPr>
          <w:p w14:paraId="56685E87" w14:textId="77777777" w:rsidR="001B1174" w:rsidRPr="002F68A0" w:rsidRDefault="001B1174" w:rsidP="00377E23">
            <w:pPr>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 xml:space="preserve">         Bahia</w:t>
            </w:r>
          </w:p>
        </w:tc>
        <w:tc>
          <w:tcPr>
            <w:tcW w:w="498" w:type="pct"/>
            <w:vAlign w:val="center"/>
            <w:hideMark/>
          </w:tcPr>
          <w:p w14:paraId="7CFF33E9"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28,8</w:t>
            </w:r>
          </w:p>
        </w:tc>
        <w:tc>
          <w:tcPr>
            <w:tcW w:w="498" w:type="pct"/>
            <w:vAlign w:val="center"/>
            <w:hideMark/>
          </w:tcPr>
          <w:p w14:paraId="65776DCC"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28,2</w:t>
            </w:r>
          </w:p>
        </w:tc>
        <w:tc>
          <w:tcPr>
            <w:tcW w:w="498" w:type="pct"/>
            <w:vAlign w:val="center"/>
            <w:hideMark/>
          </w:tcPr>
          <w:p w14:paraId="31BC2A90"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28,5</w:t>
            </w:r>
          </w:p>
        </w:tc>
        <w:tc>
          <w:tcPr>
            <w:tcW w:w="498" w:type="pct"/>
            <w:vAlign w:val="center"/>
            <w:hideMark/>
          </w:tcPr>
          <w:p w14:paraId="1AB9AF08"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28</w:t>
            </w:r>
          </w:p>
        </w:tc>
        <w:tc>
          <w:tcPr>
            <w:tcW w:w="498" w:type="pct"/>
            <w:vAlign w:val="center"/>
            <w:hideMark/>
          </w:tcPr>
          <w:p w14:paraId="607C7BC7"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28,3</w:t>
            </w:r>
          </w:p>
        </w:tc>
        <w:tc>
          <w:tcPr>
            <w:tcW w:w="498" w:type="pct"/>
            <w:vAlign w:val="center"/>
            <w:hideMark/>
          </w:tcPr>
          <w:p w14:paraId="22A57223"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28,4</w:t>
            </w:r>
          </w:p>
        </w:tc>
        <w:tc>
          <w:tcPr>
            <w:tcW w:w="497" w:type="pct"/>
            <w:vAlign w:val="center"/>
            <w:hideMark/>
          </w:tcPr>
          <w:p w14:paraId="40187152"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29</w:t>
            </w:r>
          </w:p>
        </w:tc>
      </w:tr>
      <w:tr w:rsidR="001B1174" w:rsidRPr="002F68A0" w14:paraId="3C17F9DF" w14:textId="77777777" w:rsidTr="00734A37">
        <w:trPr>
          <w:trHeight w:val="315"/>
        </w:trPr>
        <w:tc>
          <w:tcPr>
            <w:tcW w:w="1516" w:type="pct"/>
            <w:shd w:val="clear" w:color="000000" w:fill="FFFFFF"/>
            <w:vAlign w:val="center"/>
            <w:hideMark/>
          </w:tcPr>
          <w:p w14:paraId="5C24C183" w14:textId="77777777" w:rsidR="001B1174" w:rsidRPr="002F68A0" w:rsidRDefault="001B1174" w:rsidP="00377E23">
            <w:pPr>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Sudeste</w:t>
            </w:r>
          </w:p>
        </w:tc>
        <w:tc>
          <w:tcPr>
            <w:tcW w:w="498" w:type="pct"/>
            <w:shd w:val="clear" w:color="000000" w:fill="FFFFFF"/>
            <w:vAlign w:val="center"/>
            <w:hideMark/>
          </w:tcPr>
          <w:p w14:paraId="0920A9BE"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53,2</w:t>
            </w:r>
          </w:p>
        </w:tc>
        <w:tc>
          <w:tcPr>
            <w:tcW w:w="498" w:type="pct"/>
            <w:shd w:val="clear" w:color="000000" w:fill="FFFFFF"/>
            <w:vAlign w:val="center"/>
            <w:hideMark/>
          </w:tcPr>
          <w:p w14:paraId="451C87C2"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52,9</w:t>
            </w:r>
          </w:p>
        </w:tc>
        <w:tc>
          <w:tcPr>
            <w:tcW w:w="498" w:type="pct"/>
            <w:shd w:val="clear" w:color="000000" w:fill="FFFFFF"/>
            <w:vAlign w:val="center"/>
            <w:hideMark/>
          </w:tcPr>
          <w:p w14:paraId="7290FDFB"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53,1</w:t>
            </w:r>
          </w:p>
        </w:tc>
        <w:tc>
          <w:tcPr>
            <w:tcW w:w="498" w:type="pct"/>
            <w:shd w:val="clear" w:color="000000" w:fill="FFFFFF"/>
            <w:vAlign w:val="center"/>
            <w:hideMark/>
          </w:tcPr>
          <w:p w14:paraId="3F6C8497"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53</w:t>
            </w:r>
          </w:p>
        </w:tc>
        <w:tc>
          <w:tcPr>
            <w:tcW w:w="498" w:type="pct"/>
            <w:shd w:val="clear" w:color="000000" w:fill="FFFFFF"/>
            <w:vAlign w:val="center"/>
            <w:hideMark/>
          </w:tcPr>
          <w:p w14:paraId="412758D1"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51,9</w:t>
            </w:r>
          </w:p>
        </w:tc>
        <w:tc>
          <w:tcPr>
            <w:tcW w:w="498" w:type="pct"/>
            <w:shd w:val="clear" w:color="000000" w:fill="FFFFFF"/>
            <w:vAlign w:val="center"/>
            <w:hideMark/>
          </w:tcPr>
          <w:p w14:paraId="1D871A1A"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52,3</w:t>
            </w:r>
          </w:p>
        </w:tc>
        <w:tc>
          <w:tcPr>
            <w:tcW w:w="497" w:type="pct"/>
            <w:shd w:val="clear" w:color="000000" w:fill="FFFFFF"/>
            <w:vAlign w:val="center"/>
            <w:hideMark/>
          </w:tcPr>
          <w:p w14:paraId="6301188E"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53,3</w:t>
            </w:r>
          </w:p>
        </w:tc>
      </w:tr>
      <w:tr w:rsidR="001B1174" w:rsidRPr="002F68A0" w14:paraId="429FD3F7" w14:textId="77777777" w:rsidTr="00734A37">
        <w:trPr>
          <w:trHeight w:val="315"/>
        </w:trPr>
        <w:tc>
          <w:tcPr>
            <w:tcW w:w="1516" w:type="pct"/>
            <w:shd w:val="clear" w:color="000000" w:fill="FFFFFF"/>
            <w:vAlign w:val="center"/>
            <w:hideMark/>
          </w:tcPr>
          <w:p w14:paraId="7ED9A445" w14:textId="77777777" w:rsidR="001B1174" w:rsidRPr="002F68A0" w:rsidRDefault="001B1174" w:rsidP="00377E23">
            <w:pPr>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Sul</w:t>
            </w:r>
          </w:p>
        </w:tc>
        <w:tc>
          <w:tcPr>
            <w:tcW w:w="498" w:type="pct"/>
            <w:shd w:val="clear" w:color="000000" w:fill="FFFFFF"/>
            <w:vAlign w:val="center"/>
            <w:hideMark/>
          </w:tcPr>
          <w:p w14:paraId="7E7FD71C"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17</w:t>
            </w:r>
          </w:p>
        </w:tc>
        <w:tc>
          <w:tcPr>
            <w:tcW w:w="498" w:type="pct"/>
            <w:shd w:val="clear" w:color="000000" w:fill="FFFFFF"/>
            <w:vAlign w:val="center"/>
            <w:hideMark/>
          </w:tcPr>
          <w:p w14:paraId="096C4AAE"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17</w:t>
            </w:r>
          </w:p>
        </w:tc>
        <w:tc>
          <w:tcPr>
            <w:tcW w:w="498" w:type="pct"/>
            <w:shd w:val="clear" w:color="000000" w:fill="FFFFFF"/>
            <w:vAlign w:val="center"/>
            <w:hideMark/>
          </w:tcPr>
          <w:p w14:paraId="1A79B248"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17,1</w:t>
            </w:r>
          </w:p>
        </w:tc>
        <w:tc>
          <w:tcPr>
            <w:tcW w:w="498" w:type="pct"/>
            <w:shd w:val="clear" w:color="000000" w:fill="FFFFFF"/>
            <w:vAlign w:val="center"/>
            <w:hideMark/>
          </w:tcPr>
          <w:p w14:paraId="49B9290E"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17,2</w:t>
            </w:r>
          </w:p>
        </w:tc>
        <w:tc>
          <w:tcPr>
            <w:tcW w:w="498" w:type="pct"/>
            <w:shd w:val="clear" w:color="000000" w:fill="FFFFFF"/>
            <w:vAlign w:val="center"/>
            <w:hideMark/>
          </w:tcPr>
          <w:p w14:paraId="5F68E111"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17,2</w:t>
            </w:r>
          </w:p>
        </w:tc>
        <w:tc>
          <w:tcPr>
            <w:tcW w:w="498" w:type="pct"/>
            <w:shd w:val="clear" w:color="000000" w:fill="FFFFFF"/>
            <w:vAlign w:val="center"/>
            <w:hideMark/>
          </w:tcPr>
          <w:p w14:paraId="558F20FE"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17,3</w:t>
            </w:r>
          </w:p>
        </w:tc>
        <w:tc>
          <w:tcPr>
            <w:tcW w:w="497" w:type="pct"/>
            <w:shd w:val="clear" w:color="000000" w:fill="FFFFFF"/>
            <w:vAlign w:val="center"/>
            <w:hideMark/>
          </w:tcPr>
          <w:p w14:paraId="6EF1859D"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16,6</w:t>
            </w:r>
          </w:p>
        </w:tc>
      </w:tr>
      <w:tr w:rsidR="001B1174" w:rsidRPr="002F68A0" w14:paraId="60B766F5" w14:textId="77777777" w:rsidTr="00734A37">
        <w:trPr>
          <w:trHeight w:val="315"/>
        </w:trPr>
        <w:tc>
          <w:tcPr>
            <w:tcW w:w="1516" w:type="pct"/>
            <w:tcBorders>
              <w:bottom w:val="single" w:sz="4" w:space="0" w:color="auto"/>
            </w:tcBorders>
            <w:shd w:val="clear" w:color="000000" w:fill="FFFFFF"/>
            <w:vAlign w:val="center"/>
            <w:hideMark/>
          </w:tcPr>
          <w:p w14:paraId="0893955B" w14:textId="77777777" w:rsidR="001B1174" w:rsidRPr="002F68A0" w:rsidRDefault="001B1174" w:rsidP="00377E23">
            <w:pPr>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Centro-Oeste</w:t>
            </w:r>
          </w:p>
        </w:tc>
        <w:tc>
          <w:tcPr>
            <w:tcW w:w="498" w:type="pct"/>
            <w:tcBorders>
              <w:bottom w:val="single" w:sz="4" w:space="0" w:color="auto"/>
            </w:tcBorders>
            <w:shd w:val="clear" w:color="000000" w:fill="FFFFFF"/>
            <w:vAlign w:val="center"/>
            <w:hideMark/>
          </w:tcPr>
          <w:p w14:paraId="20D589BE"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10,1</w:t>
            </w:r>
          </w:p>
        </w:tc>
        <w:tc>
          <w:tcPr>
            <w:tcW w:w="498" w:type="pct"/>
            <w:tcBorders>
              <w:bottom w:val="single" w:sz="4" w:space="0" w:color="auto"/>
            </w:tcBorders>
            <w:shd w:val="clear" w:color="000000" w:fill="FFFFFF"/>
            <w:vAlign w:val="center"/>
            <w:hideMark/>
          </w:tcPr>
          <w:p w14:paraId="3B121504"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10</w:t>
            </w:r>
          </w:p>
        </w:tc>
        <w:tc>
          <w:tcPr>
            <w:tcW w:w="498" w:type="pct"/>
            <w:tcBorders>
              <w:bottom w:val="single" w:sz="4" w:space="0" w:color="auto"/>
            </w:tcBorders>
            <w:shd w:val="clear" w:color="000000" w:fill="FFFFFF"/>
            <w:vAlign w:val="center"/>
            <w:hideMark/>
          </w:tcPr>
          <w:p w14:paraId="3FBD0FDF"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9,9</w:t>
            </w:r>
          </w:p>
        </w:tc>
        <w:tc>
          <w:tcPr>
            <w:tcW w:w="498" w:type="pct"/>
            <w:tcBorders>
              <w:bottom w:val="single" w:sz="4" w:space="0" w:color="auto"/>
            </w:tcBorders>
            <w:shd w:val="clear" w:color="000000" w:fill="FFFFFF"/>
            <w:vAlign w:val="center"/>
            <w:hideMark/>
          </w:tcPr>
          <w:p w14:paraId="5316BA8C"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9,9</w:t>
            </w:r>
          </w:p>
        </w:tc>
        <w:tc>
          <w:tcPr>
            <w:tcW w:w="498" w:type="pct"/>
            <w:tcBorders>
              <w:bottom w:val="single" w:sz="4" w:space="0" w:color="auto"/>
            </w:tcBorders>
            <w:shd w:val="clear" w:color="000000" w:fill="FFFFFF"/>
            <w:vAlign w:val="center"/>
            <w:hideMark/>
          </w:tcPr>
          <w:p w14:paraId="29FF7337"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10,4</w:t>
            </w:r>
          </w:p>
        </w:tc>
        <w:tc>
          <w:tcPr>
            <w:tcW w:w="498" w:type="pct"/>
            <w:tcBorders>
              <w:bottom w:val="single" w:sz="4" w:space="0" w:color="auto"/>
            </w:tcBorders>
            <w:shd w:val="clear" w:color="000000" w:fill="FFFFFF"/>
            <w:vAlign w:val="center"/>
            <w:hideMark/>
          </w:tcPr>
          <w:p w14:paraId="47F3BD1A"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10,3</w:t>
            </w:r>
          </w:p>
        </w:tc>
        <w:tc>
          <w:tcPr>
            <w:tcW w:w="497" w:type="pct"/>
            <w:tcBorders>
              <w:bottom w:val="single" w:sz="4" w:space="0" w:color="auto"/>
            </w:tcBorders>
            <w:shd w:val="clear" w:color="000000" w:fill="FFFFFF"/>
            <w:vAlign w:val="center"/>
            <w:hideMark/>
          </w:tcPr>
          <w:p w14:paraId="6CAA6A28"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10,6</w:t>
            </w:r>
          </w:p>
        </w:tc>
      </w:tr>
    </w:tbl>
    <w:p w14:paraId="1C7A9281" w14:textId="32A59DD2" w:rsidR="00734A37" w:rsidRPr="00541D57" w:rsidRDefault="00734A37" w:rsidP="00377E23">
      <w:pPr>
        <w:spacing w:after="0" w:line="240" w:lineRule="auto"/>
        <w:contextualSpacing/>
        <w:jc w:val="both"/>
        <w:rPr>
          <w:rFonts w:ascii="Times New Roman" w:eastAsia="Times New Roman" w:hAnsi="Times New Roman" w:cs="Times New Roman"/>
          <w:sz w:val="24"/>
          <w:szCs w:val="24"/>
        </w:rPr>
      </w:pPr>
      <w:r w:rsidRPr="00541D57">
        <w:rPr>
          <w:rStyle w:val="Forte"/>
          <w:rFonts w:ascii="Times New Roman" w:hAnsi="Times New Roman" w:cs="Times New Roman"/>
          <w:sz w:val="24"/>
          <w:szCs w:val="24"/>
        </w:rPr>
        <w:t>Fonte:</w:t>
      </w:r>
      <w:r w:rsidRPr="00541D57">
        <w:rPr>
          <w:rFonts w:ascii="Times New Roman" w:hAnsi="Times New Roman" w:cs="Times New Roman"/>
          <w:sz w:val="24"/>
          <w:szCs w:val="24"/>
        </w:rPr>
        <w:t xml:space="preserve"> Elaboração própria com base em dados deflacionados pelo IPCA (IBGE, 2023).</w:t>
      </w:r>
      <w:r w:rsidRPr="00541D57">
        <w:rPr>
          <w:rFonts w:ascii="Times New Roman" w:hAnsi="Times New Roman" w:cs="Times New Roman"/>
          <w:sz w:val="24"/>
          <w:szCs w:val="24"/>
        </w:rPr>
        <w:br/>
      </w:r>
      <w:r w:rsidRPr="00541D57">
        <w:rPr>
          <w:rStyle w:val="Forte"/>
          <w:rFonts w:ascii="Times New Roman" w:hAnsi="Times New Roman" w:cs="Times New Roman"/>
          <w:sz w:val="24"/>
          <w:szCs w:val="24"/>
        </w:rPr>
        <w:t>Nota:</w:t>
      </w:r>
      <w:r w:rsidR="00FE2759">
        <w:rPr>
          <w:rFonts w:ascii="Times New Roman" w:hAnsi="Times New Roman" w:cs="Times New Roman"/>
          <w:sz w:val="24"/>
          <w:szCs w:val="24"/>
        </w:rPr>
        <w:t xml:space="preserve"> </w:t>
      </w:r>
      <w:r w:rsidRPr="00541D57">
        <w:rPr>
          <w:rFonts w:ascii="Times New Roman" w:hAnsi="Times New Roman" w:cs="Times New Roman"/>
          <w:sz w:val="24"/>
          <w:szCs w:val="24"/>
        </w:rPr>
        <w:t xml:space="preserve">Valores deflacionados para preços constantes </w:t>
      </w:r>
      <w:r w:rsidR="00D01716">
        <w:rPr>
          <w:rFonts w:ascii="Times New Roman" w:hAnsi="Times New Roman" w:cs="Times New Roman"/>
          <w:sz w:val="24"/>
          <w:szCs w:val="24"/>
        </w:rPr>
        <w:t xml:space="preserve">pelo IPCA </w:t>
      </w:r>
      <w:r w:rsidRPr="00541D57">
        <w:rPr>
          <w:rFonts w:ascii="Times New Roman" w:hAnsi="Times New Roman" w:cs="Times New Roman"/>
          <w:sz w:val="24"/>
          <w:szCs w:val="24"/>
        </w:rPr>
        <w:t>de 2016, em milhões de reais.</w:t>
      </w:r>
    </w:p>
    <w:p w14:paraId="499C01F7" w14:textId="77777777" w:rsidR="001B1174" w:rsidRPr="002F68A0" w:rsidRDefault="001B1174" w:rsidP="00377E23">
      <w:pPr>
        <w:spacing w:after="0" w:line="360" w:lineRule="auto"/>
        <w:contextualSpacing/>
        <w:jc w:val="both"/>
        <w:rPr>
          <w:rFonts w:ascii="Times New Roman" w:hAnsi="Times New Roman" w:cs="Times New Roman"/>
          <w:sz w:val="24"/>
          <w:szCs w:val="24"/>
          <w:shd w:val="clear" w:color="auto" w:fill="FFFFFF"/>
        </w:rPr>
      </w:pPr>
    </w:p>
    <w:p w14:paraId="3DB8E48E" w14:textId="7C5EC17A" w:rsidR="006948B5" w:rsidRPr="006948B5" w:rsidRDefault="006948B5" w:rsidP="00377E23">
      <w:pPr>
        <w:spacing w:after="0" w:line="360" w:lineRule="auto"/>
        <w:ind w:firstLine="708"/>
        <w:contextualSpacing/>
        <w:jc w:val="both"/>
        <w:rPr>
          <w:rFonts w:ascii="Times New Roman" w:eastAsia="Times New Roman" w:hAnsi="Times New Roman" w:cs="Times New Roman"/>
          <w:kern w:val="0"/>
          <w:sz w:val="24"/>
          <w:szCs w:val="24"/>
          <w:lang w:eastAsia="pt-BR"/>
          <w14:ligatures w14:val="none"/>
        </w:rPr>
      </w:pPr>
      <w:r w:rsidRPr="006948B5">
        <w:rPr>
          <w:rFonts w:ascii="Times New Roman" w:eastAsia="Times New Roman" w:hAnsi="Times New Roman" w:cs="Times New Roman"/>
          <w:kern w:val="0"/>
          <w:sz w:val="24"/>
          <w:szCs w:val="24"/>
          <w:lang w:eastAsia="pt-BR"/>
          <w14:ligatures w14:val="none"/>
        </w:rPr>
        <w:t xml:space="preserve">O período de 2016 a 2022 apresentou crescimento significativo do Produto Interno Bruto (PIB) per capita em todas as regiões brasileiras, com destaque para o avanço de 20,4% no nível nacional, passando de R$ 30.422 mil em 2016 para R$ 36.609 mil em 2022. A região </w:t>
      </w:r>
      <w:r w:rsidRPr="006948B5">
        <w:rPr>
          <w:rFonts w:ascii="Times New Roman" w:eastAsia="Times New Roman" w:hAnsi="Times New Roman" w:cs="Times New Roman"/>
          <w:kern w:val="0"/>
          <w:sz w:val="24"/>
          <w:szCs w:val="24"/>
          <w:lang w:eastAsia="pt-BR"/>
          <w14:ligatures w14:val="none"/>
        </w:rPr>
        <w:lastRenderedPageBreak/>
        <w:t>Nordeste, partindo de uma base mais baixa de R$ 15.784 mil em 2016, alcançou R$ 18.727 mil em 2022, um aumento de 18,7%, porém ainda abaixo da média nacional. Isso confirma que o Nordeste permanece menos desenvolvido em termos de renda por habitante, mantendo um hiato significativo em relação às regiões Sudeste e Centro-Oeste, que em 2022 apresentaram PIB per capita de R$ 46.692 mil e R$ 48.419 mil, respectivamente — valores mais que o dobro dos da região Nordeste</w:t>
      </w:r>
      <w:r w:rsidR="00D22BEE">
        <w:rPr>
          <w:rFonts w:ascii="Times New Roman" w:eastAsia="Times New Roman" w:hAnsi="Times New Roman" w:cs="Times New Roman"/>
          <w:kern w:val="0"/>
          <w:sz w:val="24"/>
          <w:szCs w:val="24"/>
          <w:lang w:eastAsia="pt-BR"/>
          <w14:ligatures w14:val="none"/>
        </w:rPr>
        <w:t xml:space="preserve"> (Tabela 3)</w:t>
      </w:r>
      <w:r w:rsidRPr="006948B5">
        <w:rPr>
          <w:rFonts w:ascii="Times New Roman" w:eastAsia="Times New Roman" w:hAnsi="Times New Roman" w:cs="Times New Roman"/>
          <w:kern w:val="0"/>
          <w:sz w:val="24"/>
          <w:szCs w:val="24"/>
          <w:lang w:eastAsia="pt-BR"/>
          <w14:ligatures w14:val="none"/>
        </w:rPr>
        <w:t>.</w:t>
      </w:r>
    </w:p>
    <w:p w14:paraId="7924E7DC" w14:textId="77777777" w:rsidR="006948B5" w:rsidRPr="006948B5" w:rsidRDefault="006948B5" w:rsidP="00377E23">
      <w:pPr>
        <w:spacing w:after="0" w:line="360" w:lineRule="auto"/>
        <w:ind w:firstLine="708"/>
        <w:contextualSpacing/>
        <w:jc w:val="both"/>
        <w:rPr>
          <w:rFonts w:ascii="Times New Roman" w:eastAsia="Times New Roman" w:hAnsi="Times New Roman" w:cs="Times New Roman"/>
          <w:kern w:val="0"/>
          <w:sz w:val="24"/>
          <w:szCs w:val="24"/>
          <w:lang w:eastAsia="pt-BR"/>
          <w14:ligatures w14:val="none"/>
        </w:rPr>
      </w:pPr>
      <w:r w:rsidRPr="006948B5">
        <w:rPr>
          <w:rFonts w:ascii="Times New Roman" w:eastAsia="Times New Roman" w:hAnsi="Times New Roman" w:cs="Times New Roman"/>
          <w:kern w:val="0"/>
          <w:sz w:val="24"/>
          <w:szCs w:val="24"/>
          <w:lang w:eastAsia="pt-BR"/>
          <w14:ligatures w14:val="none"/>
        </w:rPr>
        <w:t>No contexto nordestino, os estados do Piauí e Maranhão, tradicionalmente os mais pobres, registraram os crescimentos percentuais mais expressivos: o Piauí passou de R$ 12.894 mil para R$ 16.426 mil (27,4%) e Maranhão de R$ 12.268 mil para R$ 15.214 mil (24,0%), indicando um processo de redução relativa das disparidades internas da região.</w:t>
      </w:r>
    </w:p>
    <w:p w14:paraId="17DFDFAE" w14:textId="0EBB4575" w:rsidR="006948B5" w:rsidRPr="006948B5" w:rsidRDefault="006948B5" w:rsidP="00377E23">
      <w:pPr>
        <w:spacing w:after="0" w:line="360" w:lineRule="auto"/>
        <w:ind w:firstLine="708"/>
        <w:contextualSpacing/>
        <w:jc w:val="both"/>
        <w:rPr>
          <w:rFonts w:ascii="Times New Roman" w:eastAsia="Times New Roman" w:hAnsi="Times New Roman" w:cs="Times New Roman"/>
          <w:kern w:val="0"/>
          <w:sz w:val="24"/>
          <w:szCs w:val="24"/>
          <w:lang w:eastAsia="pt-BR"/>
          <w14:ligatures w14:val="none"/>
        </w:rPr>
      </w:pPr>
      <w:r w:rsidRPr="006948B5">
        <w:rPr>
          <w:rFonts w:ascii="Times New Roman" w:eastAsia="Times New Roman" w:hAnsi="Times New Roman" w:cs="Times New Roman"/>
          <w:kern w:val="0"/>
          <w:sz w:val="24"/>
          <w:szCs w:val="24"/>
          <w:lang w:eastAsia="pt-BR"/>
          <w14:ligatures w14:val="none"/>
        </w:rPr>
        <w:t xml:space="preserve">No topo da região, estados como Bahia, Rio Grande do Norte e </w:t>
      </w:r>
      <w:r w:rsidR="005342DC">
        <w:rPr>
          <w:rFonts w:ascii="Times New Roman" w:eastAsia="Times New Roman" w:hAnsi="Times New Roman" w:cs="Times New Roman"/>
          <w:kern w:val="0"/>
          <w:sz w:val="24"/>
          <w:szCs w:val="24"/>
          <w:lang w:eastAsia="pt-BR"/>
          <w14:ligatures w14:val="none"/>
        </w:rPr>
        <w:t>Paraíba</w:t>
      </w:r>
      <w:r w:rsidRPr="006948B5">
        <w:rPr>
          <w:rFonts w:ascii="Times New Roman" w:eastAsia="Times New Roman" w:hAnsi="Times New Roman" w:cs="Times New Roman"/>
          <w:kern w:val="0"/>
          <w:sz w:val="24"/>
          <w:szCs w:val="24"/>
          <w:lang w:eastAsia="pt-BR"/>
          <w14:ligatures w14:val="none"/>
        </w:rPr>
        <w:t xml:space="preserve"> apresentaram PIB per capita próximos de R$ 20.996 mil, R$ 20.944 mil e R$ 15.974 mil, respectivamente, em 2022. Embora esses valores sejam superiores aos de outros estados nordestinos, permanecem substancialmente abaixo das médias das regiões Sul (R$ 41.256 mil) e Sudeste.</w:t>
      </w:r>
    </w:p>
    <w:p w14:paraId="0294DA53" w14:textId="77777777" w:rsidR="006948B5" w:rsidRPr="006948B5" w:rsidRDefault="006948B5" w:rsidP="00377E23">
      <w:pPr>
        <w:spacing w:after="0" w:line="360" w:lineRule="auto"/>
        <w:ind w:firstLine="708"/>
        <w:contextualSpacing/>
        <w:jc w:val="both"/>
        <w:rPr>
          <w:rFonts w:ascii="Times New Roman" w:eastAsia="Times New Roman" w:hAnsi="Times New Roman" w:cs="Times New Roman"/>
          <w:kern w:val="0"/>
          <w:sz w:val="24"/>
          <w:szCs w:val="24"/>
          <w:lang w:eastAsia="pt-BR"/>
          <w14:ligatures w14:val="none"/>
        </w:rPr>
      </w:pPr>
      <w:r w:rsidRPr="006948B5">
        <w:rPr>
          <w:rFonts w:ascii="Times New Roman" w:eastAsia="Times New Roman" w:hAnsi="Times New Roman" w:cs="Times New Roman"/>
          <w:kern w:val="0"/>
          <w:sz w:val="24"/>
          <w:szCs w:val="24"/>
          <w:lang w:eastAsia="pt-BR"/>
          <w14:ligatures w14:val="none"/>
        </w:rPr>
        <w:t>Os dados indicam que, apesar dos progressos na redução das desigualdades internas no Nordeste, o distanciamento econômico entre esta região e as regiões mais desenvolvidas do país ainda representa um dos principais desafios para a busca de um desenvolvimento nacional mais equilibrado.</w:t>
      </w:r>
    </w:p>
    <w:p w14:paraId="7F53F662" w14:textId="77777777" w:rsidR="001B1174" w:rsidRPr="002F68A0" w:rsidRDefault="001B1174" w:rsidP="00377E23">
      <w:pPr>
        <w:spacing w:after="0" w:line="360" w:lineRule="auto"/>
        <w:ind w:firstLine="720"/>
        <w:contextualSpacing/>
        <w:jc w:val="both"/>
        <w:rPr>
          <w:rFonts w:ascii="Times New Roman" w:hAnsi="Times New Roman" w:cs="Times New Roman"/>
          <w:sz w:val="24"/>
          <w:szCs w:val="24"/>
          <w:shd w:val="clear" w:color="auto" w:fill="FFFFFF"/>
        </w:rPr>
      </w:pPr>
    </w:p>
    <w:p w14:paraId="437E6D39" w14:textId="7A9F2278" w:rsidR="008C6B62" w:rsidRDefault="001B1174" w:rsidP="00377E23">
      <w:pPr>
        <w:spacing w:after="0" w:line="240" w:lineRule="auto"/>
        <w:contextualSpacing/>
        <w:jc w:val="both"/>
        <w:rPr>
          <w:rFonts w:ascii="Times New Roman" w:hAnsi="Times New Roman" w:cs="Times New Roman"/>
          <w:sz w:val="24"/>
          <w:szCs w:val="24"/>
        </w:rPr>
      </w:pPr>
      <w:r w:rsidRPr="00541D57">
        <w:rPr>
          <w:rFonts w:ascii="Times New Roman" w:eastAsia="Open Sans" w:hAnsi="Times New Roman" w:cs="Times New Roman"/>
          <w:sz w:val="24"/>
          <w:szCs w:val="24"/>
        </w:rPr>
        <w:t>Ta</w:t>
      </w:r>
      <w:r w:rsidR="00E07542">
        <w:rPr>
          <w:rFonts w:ascii="Times New Roman" w:eastAsia="Open Sans" w:hAnsi="Times New Roman" w:cs="Times New Roman"/>
          <w:sz w:val="24"/>
          <w:szCs w:val="24"/>
        </w:rPr>
        <w:t>bela 3 - Produto interno bruto p</w:t>
      </w:r>
      <w:r w:rsidRPr="00541D57">
        <w:rPr>
          <w:rFonts w:ascii="Times New Roman" w:eastAsia="Open Sans" w:hAnsi="Times New Roman" w:cs="Times New Roman"/>
          <w:sz w:val="24"/>
          <w:szCs w:val="24"/>
        </w:rPr>
        <w:t xml:space="preserve">er capita </w:t>
      </w:r>
      <w:r w:rsidR="00DF1C66">
        <w:rPr>
          <w:rFonts w:ascii="Times New Roman" w:hAnsi="Times New Roman" w:cs="Times New Roman"/>
          <w:sz w:val="24"/>
          <w:szCs w:val="24"/>
        </w:rPr>
        <w:t>a preços constantes de 2016</w:t>
      </w:r>
      <w:r w:rsidR="00734A37" w:rsidRPr="00541D57">
        <w:rPr>
          <w:rFonts w:ascii="Times New Roman" w:hAnsi="Times New Roman" w:cs="Times New Roman"/>
          <w:sz w:val="24"/>
          <w:szCs w:val="24"/>
        </w:rPr>
        <w:t xml:space="preserve"> (em R$ milhões) – </w:t>
      </w:r>
    </w:p>
    <w:p w14:paraId="10B70E5D" w14:textId="46537757" w:rsidR="001B1174" w:rsidRPr="00541D57" w:rsidRDefault="008C6B62" w:rsidP="00377E23">
      <w:pPr>
        <w:spacing w:after="0" w:line="240" w:lineRule="auto"/>
        <w:ind w:firstLine="708"/>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734A37" w:rsidRPr="00541D57">
        <w:rPr>
          <w:rFonts w:ascii="Times New Roman" w:hAnsi="Times New Roman" w:cs="Times New Roman"/>
          <w:sz w:val="24"/>
          <w:szCs w:val="24"/>
        </w:rPr>
        <w:t>Brasil, Nordeste e unidades federativas nordestinas, 2016–2022</w:t>
      </w:r>
    </w:p>
    <w:tbl>
      <w:tblPr>
        <w:tblW w:w="9160" w:type="dxa"/>
        <w:tblInd w:w="55" w:type="dxa"/>
        <w:tblCellMar>
          <w:left w:w="70" w:type="dxa"/>
          <w:right w:w="70" w:type="dxa"/>
        </w:tblCellMar>
        <w:tblLook w:val="04A0" w:firstRow="1" w:lastRow="0" w:firstColumn="1" w:lastColumn="0" w:noHBand="0" w:noVBand="1"/>
      </w:tblPr>
      <w:tblGrid>
        <w:gridCol w:w="2440"/>
        <w:gridCol w:w="960"/>
        <w:gridCol w:w="960"/>
        <w:gridCol w:w="960"/>
        <w:gridCol w:w="960"/>
        <w:gridCol w:w="960"/>
        <w:gridCol w:w="960"/>
        <w:gridCol w:w="960"/>
      </w:tblGrid>
      <w:tr w:rsidR="009C623B" w:rsidRPr="009C623B" w14:paraId="48482FDC" w14:textId="77777777" w:rsidTr="001F0AEA">
        <w:trPr>
          <w:trHeight w:val="300"/>
        </w:trPr>
        <w:tc>
          <w:tcPr>
            <w:tcW w:w="2440" w:type="dxa"/>
            <w:tcBorders>
              <w:top w:val="single" w:sz="4" w:space="0" w:color="auto"/>
              <w:left w:val="nil"/>
              <w:bottom w:val="single" w:sz="4" w:space="0" w:color="auto"/>
              <w:right w:val="single" w:sz="4" w:space="0" w:color="auto"/>
            </w:tcBorders>
            <w:noWrap/>
            <w:vAlign w:val="bottom"/>
            <w:hideMark/>
          </w:tcPr>
          <w:p w14:paraId="606B8F98" w14:textId="77777777" w:rsidR="009C623B" w:rsidRPr="009C623B" w:rsidRDefault="009C623B" w:rsidP="00377E23">
            <w:pPr>
              <w:spacing w:after="0" w:line="240" w:lineRule="auto"/>
              <w:contextualSpacing/>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TERRITÓRIO</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970939C"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2016</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EDB95E6"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2017</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912644F"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2018</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19EF6AC"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2019</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A6A2BBA"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2020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61C7987"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2021</w:t>
            </w:r>
          </w:p>
        </w:tc>
        <w:tc>
          <w:tcPr>
            <w:tcW w:w="960" w:type="dxa"/>
            <w:tcBorders>
              <w:top w:val="single" w:sz="4" w:space="0" w:color="auto"/>
              <w:left w:val="single" w:sz="4" w:space="0" w:color="auto"/>
              <w:bottom w:val="single" w:sz="4" w:space="0" w:color="auto"/>
              <w:right w:val="nil"/>
            </w:tcBorders>
            <w:noWrap/>
            <w:vAlign w:val="bottom"/>
            <w:hideMark/>
          </w:tcPr>
          <w:p w14:paraId="1D6F0CBB"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2022</w:t>
            </w:r>
          </w:p>
        </w:tc>
      </w:tr>
      <w:tr w:rsidR="009C623B" w:rsidRPr="009C623B" w14:paraId="7B745E09" w14:textId="77777777" w:rsidTr="001F0AEA">
        <w:trPr>
          <w:trHeight w:val="300"/>
        </w:trPr>
        <w:tc>
          <w:tcPr>
            <w:tcW w:w="2440" w:type="dxa"/>
            <w:tcBorders>
              <w:top w:val="single" w:sz="4" w:space="0" w:color="auto"/>
              <w:left w:val="nil"/>
              <w:bottom w:val="nil"/>
              <w:right w:val="nil"/>
            </w:tcBorders>
            <w:vAlign w:val="center"/>
            <w:hideMark/>
          </w:tcPr>
          <w:p w14:paraId="1460E12B" w14:textId="77777777" w:rsidR="009C623B" w:rsidRPr="009C623B" w:rsidRDefault="009C623B" w:rsidP="00377E23">
            <w:pPr>
              <w:spacing w:after="0" w:line="240" w:lineRule="auto"/>
              <w:contextualSpacing/>
              <w:rPr>
                <w:rFonts w:ascii="Times New Roman" w:eastAsia="Times New Roman" w:hAnsi="Times New Roman" w:cs="Times New Roman"/>
                <w:bCs/>
                <w:color w:val="000000"/>
                <w:kern w:val="0"/>
                <w:sz w:val="24"/>
                <w:szCs w:val="24"/>
                <w:lang w:eastAsia="pt-BR"/>
                <w14:ligatures w14:val="none"/>
              </w:rPr>
            </w:pPr>
            <w:r w:rsidRPr="009C623B">
              <w:rPr>
                <w:rFonts w:ascii="Times New Roman" w:eastAsia="Times New Roman" w:hAnsi="Times New Roman" w:cs="Times New Roman"/>
                <w:bCs/>
                <w:color w:val="000000"/>
                <w:kern w:val="0"/>
                <w:sz w:val="24"/>
                <w:szCs w:val="24"/>
                <w:lang w:eastAsia="pt-BR"/>
                <w14:ligatures w14:val="none"/>
              </w:rPr>
              <w:t>Brasil (R$ mil)</w:t>
            </w:r>
          </w:p>
        </w:tc>
        <w:tc>
          <w:tcPr>
            <w:tcW w:w="960" w:type="dxa"/>
            <w:tcBorders>
              <w:top w:val="single" w:sz="4" w:space="0" w:color="auto"/>
              <w:left w:val="nil"/>
              <w:bottom w:val="nil"/>
              <w:right w:val="nil"/>
            </w:tcBorders>
            <w:vAlign w:val="center"/>
            <w:hideMark/>
          </w:tcPr>
          <w:p w14:paraId="63AAE4B8" w14:textId="77777777" w:rsidR="009C623B" w:rsidRPr="009C623B" w:rsidRDefault="009C623B" w:rsidP="00377E23">
            <w:pPr>
              <w:spacing w:after="0" w:line="240" w:lineRule="auto"/>
              <w:contextualSpacing/>
              <w:jc w:val="center"/>
              <w:rPr>
                <w:rFonts w:ascii="Times New Roman" w:eastAsia="Times New Roman" w:hAnsi="Times New Roman" w:cs="Times New Roman"/>
                <w:bCs/>
                <w:color w:val="000000"/>
                <w:kern w:val="0"/>
                <w:sz w:val="24"/>
                <w:szCs w:val="24"/>
                <w:lang w:eastAsia="pt-BR"/>
                <w14:ligatures w14:val="none"/>
              </w:rPr>
            </w:pPr>
            <w:r w:rsidRPr="009C623B">
              <w:rPr>
                <w:rFonts w:ascii="Times New Roman" w:eastAsia="Times New Roman" w:hAnsi="Times New Roman" w:cs="Times New Roman"/>
                <w:bCs/>
                <w:color w:val="000000"/>
                <w:kern w:val="0"/>
                <w:sz w:val="24"/>
                <w:szCs w:val="24"/>
                <w:lang w:eastAsia="pt-BR"/>
                <w14:ligatures w14:val="none"/>
              </w:rPr>
              <w:t>30.422</w:t>
            </w:r>
          </w:p>
        </w:tc>
        <w:tc>
          <w:tcPr>
            <w:tcW w:w="960" w:type="dxa"/>
            <w:tcBorders>
              <w:top w:val="single" w:sz="4" w:space="0" w:color="auto"/>
              <w:left w:val="nil"/>
              <w:bottom w:val="nil"/>
              <w:right w:val="nil"/>
            </w:tcBorders>
            <w:vAlign w:val="center"/>
            <w:hideMark/>
          </w:tcPr>
          <w:p w14:paraId="2E15463B"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30.818</w:t>
            </w:r>
          </w:p>
        </w:tc>
        <w:tc>
          <w:tcPr>
            <w:tcW w:w="960" w:type="dxa"/>
            <w:tcBorders>
              <w:top w:val="single" w:sz="4" w:space="0" w:color="auto"/>
              <w:left w:val="nil"/>
              <w:bottom w:val="nil"/>
              <w:right w:val="nil"/>
            </w:tcBorders>
            <w:vAlign w:val="center"/>
            <w:hideMark/>
          </w:tcPr>
          <w:p w14:paraId="013401AE"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31.444</w:t>
            </w:r>
          </w:p>
        </w:tc>
        <w:tc>
          <w:tcPr>
            <w:tcW w:w="960" w:type="dxa"/>
            <w:tcBorders>
              <w:top w:val="single" w:sz="4" w:space="0" w:color="auto"/>
              <w:left w:val="nil"/>
              <w:bottom w:val="nil"/>
              <w:right w:val="nil"/>
            </w:tcBorders>
            <w:vAlign w:val="center"/>
            <w:hideMark/>
          </w:tcPr>
          <w:p w14:paraId="4331252F"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31.556</w:t>
            </w:r>
          </w:p>
        </w:tc>
        <w:tc>
          <w:tcPr>
            <w:tcW w:w="960" w:type="dxa"/>
            <w:tcBorders>
              <w:top w:val="single" w:sz="4" w:space="0" w:color="auto"/>
              <w:left w:val="nil"/>
              <w:bottom w:val="nil"/>
              <w:right w:val="nil"/>
            </w:tcBorders>
            <w:vAlign w:val="center"/>
            <w:hideMark/>
          </w:tcPr>
          <w:p w14:paraId="4F6C6606"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30.838</w:t>
            </w:r>
          </w:p>
        </w:tc>
        <w:tc>
          <w:tcPr>
            <w:tcW w:w="960" w:type="dxa"/>
            <w:tcBorders>
              <w:top w:val="single" w:sz="4" w:space="0" w:color="auto"/>
              <w:left w:val="nil"/>
              <w:bottom w:val="nil"/>
              <w:right w:val="nil"/>
            </w:tcBorders>
            <w:vAlign w:val="center"/>
            <w:hideMark/>
          </w:tcPr>
          <w:p w14:paraId="0C92D358"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32.946</w:t>
            </w:r>
          </w:p>
        </w:tc>
        <w:tc>
          <w:tcPr>
            <w:tcW w:w="960" w:type="dxa"/>
            <w:tcBorders>
              <w:top w:val="single" w:sz="4" w:space="0" w:color="auto"/>
              <w:left w:val="nil"/>
              <w:bottom w:val="nil"/>
              <w:right w:val="nil"/>
            </w:tcBorders>
            <w:vAlign w:val="center"/>
            <w:hideMark/>
          </w:tcPr>
          <w:p w14:paraId="77C27E4E"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36.609</w:t>
            </w:r>
          </w:p>
        </w:tc>
      </w:tr>
      <w:tr w:rsidR="009C623B" w:rsidRPr="009C623B" w14:paraId="5319A386" w14:textId="77777777" w:rsidTr="009C623B">
        <w:trPr>
          <w:trHeight w:val="300"/>
        </w:trPr>
        <w:tc>
          <w:tcPr>
            <w:tcW w:w="2440" w:type="dxa"/>
            <w:tcBorders>
              <w:top w:val="nil"/>
              <w:left w:val="nil"/>
              <w:bottom w:val="nil"/>
              <w:right w:val="nil"/>
            </w:tcBorders>
            <w:vAlign w:val="center"/>
            <w:hideMark/>
          </w:tcPr>
          <w:p w14:paraId="3A486818" w14:textId="77777777" w:rsidR="009C623B" w:rsidRPr="009C623B" w:rsidRDefault="009C623B" w:rsidP="00377E23">
            <w:pPr>
              <w:spacing w:after="0" w:line="240" w:lineRule="auto"/>
              <w:contextualSpacing/>
              <w:rPr>
                <w:rFonts w:ascii="Times New Roman" w:eastAsia="Times New Roman" w:hAnsi="Times New Roman" w:cs="Times New Roman"/>
                <w:bCs/>
                <w:color w:val="000000"/>
                <w:kern w:val="0"/>
                <w:sz w:val="24"/>
                <w:szCs w:val="24"/>
                <w:lang w:eastAsia="pt-BR"/>
                <w14:ligatures w14:val="none"/>
              </w:rPr>
            </w:pPr>
            <w:r w:rsidRPr="009C623B">
              <w:rPr>
                <w:rFonts w:ascii="Times New Roman" w:eastAsia="Times New Roman" w:hAnsi="Times New Roman" w:cs="Times New Roman"/>
                <w:bCs/>
                <w:color w:val="000000"/>
                <w:kern w:val="0"/>
                <w:sz w:val="24"/>
                <w:szCs w:val="24"/>
                <w:lang w:eastAsia="pt-BR"/>
                <w14:ligatures w14:val="none"/>
              </w:rPr>
              <w:t>Nordeste (R$ mil)</w:t>
            </w:r>
          </w:p>
        </w:tc>
        <w:tc>
          <w:tcPr>
            <w:tcW w:w="960" w:type="dxa"/>
            <w:tcBorders>
              <w:top w:val="nil"/>
              <w:left w:val="nil"/>
              <w:bottom w:val="nil"/>
              <w:right w:val="nil"/>
            </w:tcBorders>
            <w:vAlign w:val="center"/>
            <w:hideMark/>
          </w:tcPr>
          <w:p w14:paraId="06CE3F0F" w14:textId="77777777" w:rsidR="009C623B" w:rsidRPr="009C623B" w:rsidRDefault="009C623B" w:rsidP="00377E23">
            <w:pPr>
              <w:spacing w:after="0" w:line="240" w:lineRule="auto"/>
              <w:contextualSpacing/>
              <w:jc w:val="center"/>
              <w:rPr>
                <w:rFonts w:ascii="Times New Roman" w:eastAsia="Times New Roman" w:hAnsi="Times New Roman" w:cs="Times New Roman"/>
                <w:bCs/>
                <w:color w:val="000000"/>
                <w:kern w:val="0"/>
                <w:sz w:val="24"/>
                <w:szCs w:val="24"/>
                <w:lang w:eastAsia="pt-BR"/>
                <w14:ligatures w14:val="none"/>
              </w:rPr>
            </w:pPr>
            <w:r w:rsidRPr="009C623B">
              <w:rPr>
                <w:rFonts w:ascii="Times New Roman" w:eastAsia="Times New Roman" w:hAnsi="Times New Roman" w:cs="Times New Roman"/>
                <w:bCs/>
                <w:color w:val="000000"/>
                <w:kern w:val="0"/>
                <w:sz w:val="24"/>
                <w:szCs w:val="24"/>
                <w:lang w:eastAsia="pt-BR"/>
                <w14:ligatures w14:val="none"/>
              </w:rPr>
              <w:t>15.784</w:t>
            </w:r>
          </w:p>
        </w:tc>
        <w:tc>
          <w:tcPr>
            <w:tcW w:w="960" w:type="dxa"/>
            <w:tcBorders>
              <w:top w:val="nil"/>
              <w:left w:val="nil"/>
              <w:bottom w:val="nil"/>
              <w:right w:val="nil"/>
            </w:tcBorders>
            <w:vAlign w:val="center"/>
            <w:hideMark/>
          </w:tcPr>
          <w:p w14:paraId="3155C9DD"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16.179</w:t>
            </w:r>
          </w:p>
        </w:tc>
        <w:tc>
          <w:tcPr>
            <w:tcW w:w="960" w:type="dxa"/>
            <w:tcBorders>
              <w:top w:val="nil"/>
              <w:left w:val="nil"/>
              <w:bottom w:val="nil"/>
              <w:right w:val="nil"/>
            </w:tcBorders>
            <w:vAlign w:val="center"/>
            <w:hideMark/>
          </w:tcPr>
          <w:p w14:paraId="432DEB97"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16.583</w:t>
            </w:r>
          </w:p>
        </w:tc>
        <w:tc>
          <w:tcPr>
            <w:tcW w:w="960" w:type="dxa"/>
            <w:tcBorders>
              <w:top w:val="nil"/>
              <w:left w:val="nil"/>
              <w:bottom w:val="nil"/>
              <w:right w:val="nil"/>
            </w:tcBorders>
            <w:vAlign w:val="center"/>
            <w:hideMark/>
          </w:tcPr>
          <w:p w14:paraId="53B3E48F"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16.473</w:t>
            </w:r>
          </w:p>
        </w:tc>
        <w:tc>
          <w:tcPr>
            <w:tcW w:w="960" w:type="dxa"/>
            <w:tcBorders>
              <w:top w:val="nil"/>
              <w:left w:val="nil"/>
              <w:bottom w:val="nil"/>
              <w:right w:val="nil"/>
            </w:tcBorders>
            <w:vAlign w:val="center"/>
            <w:hideMark/>
          </w:tcPr>
          <w:p w14:paraId="37542096"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16.144</w:t>
            </w:r>
          </w:p>
        </w:tc>
        <w:tc>
          <w:tcPr>
            <w:tcW w:w="960" w:type="dxa"/>
            <w:tcBorders>
              <w:top w:val="nil"/>
              <w:left w:val="nil"/>
              <w:bottom w:val="nil"/>
              <w:right w:val="nil"/>
            </w:tcBorders>
            <w:vAlign w:val="center"/>
            <w:hideMark/>
          </w:tcPr>
          <w:p w14:paraId="3172DDC7"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16.805</w:t>
            </w:r>
          </w:p>
        </w:tc>
        <w:tc>
          <w:tcPr>
            <w:tcW w:w="960" w:type="dxa"/>
            <w:tcBorders>
              <w:top w:val="nil"/>
              <w:left w:val="nil"/>
              <w:bottom w:val="nil"/>
              <w:right w:val="nil"/>
            </w:tcBorders>
            <w:vAlign w:val="center"/>
            <w:hideMark/>
          </w:tcPr>
          <w:p w14:paraId="1EB2F97B"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18.727</w:t>
            </w:r>
          </w:p>
        </w:tc>
      </w:tr>
      <w:tr w:rsidR="009C623B" w:rsidRPr="009C623B" w14:paraId="0E8B4624" w14:textId="77777777" w:rsidTr="009C623B">
        <w:trPr>
          <w:trHeight w:val="300"/>
        </w:trPr>
        <w:tc>
          <w:tcPr>
            <w:tcW w:w="2440" w:type="dxa"/>
            <w:tcBorders>
              <w:top w:val="nil"/>
              <w:left w:val="nil"/>
              <w:bottom w:val="nil"/>
              <w:right w:val="nil"/>
            </w:tcBorders>
            <w:vAlign w:val="center"/>
            <w:hideMark/>
          </w:tcPr>
          <w:p w14:paraId="19A31C3B" w14:textId="77777777" w:rsidR="009C623B" w:rsidRPr="009C623B" w:rsidRDefault="009C623B" w:rsidP="00377E23">
            <w:pPr>
              <w:spacing w:after="0" w:line="240" w:lineRule="auto"/>
              <w:ind w:left="649"/>
              <w:contextualSpacing/>
              <w:rPr>
                <w:rFonts w:ascii="Times New Roman" w:eastAsia="Times New Roman" w:hAnsi="Times New Roman" w:cs="Times New Roman"/>
                <w:bCs/>
                <w:color w:val="000000"/>
                <w:kern w:val="0"/>
                <w:sz w:val="24"/>
                <w:szCs w:val="24"/>
                <w:lang w:eastAsia="pt-BR"/>
                <w14:ligatures w14:val="none"/>
              </w:rPr>
            </w:pPr>
            <w:r w:rsidRPr="009C623B">
              <w:rPr>
                <w:rFonts w:ascii="Times New Roman" w:eastAsia="Times New Roman" w:hAnsi="Times New Roman" w:cs="Times New Roman"/>
                <w:bCs/>
                <w:color w:val="000000"/>
                <w:kern w:val="0"/>
                <w:sz w:val="24"/>
                <w:szCs w:val="24"/>
                <w:lang w:eastAsia="pt-BR"/>
                <w14:ligatures w14:val="none"/>
              </w:rPr>
              <w:t>Maranhão</w:t>
            </w:r>
          </w:p>
        </w:tc>
        <w:tc>
          <w:tcPr>
            <w:tcW w:w="960" w:type="dxa"/>
            <w:tcBorders>
              <w:top w:val="nil"/>
              <w:left w:val="nil"/>
              <w:bottom w:val="nil"/>
              <w:right w:val="nil"/>
            </w:tcBorders>
            <w:vAlign w:val="center"/>
            <w:hideMark/>
          </w:tcPr>
          <w:p w14:paraId="217EC107"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12.268</w:t>
            </w:r>
          </w:p>
        </w:tc>
        <w:tc>
          <w:tcPr>
            <w:tcW w:w="960" w:type="dxa"/>
            <w:tcBorders>
              <w:top w:val="nil"/>
              <w:left w:val="nil"/>
              <w:bottom w:val="nil"/>
              <w:right w:val="nil"/>
            </w:tcBorders>
            <w:vAlign w:val="center"/>
            <w:hideMark/>
          </w:tcPr>
          <w:p w14:paraId="16BFE8DC"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12.426</w:t>
            </w:r>
          </w:p>
        </w:tc>
        <w:tc>
          <w:tcPr>
            <w:tcW w:w="960" w:type="dxa"/>
            <w:tcBorders>
              <w:top w:val="nil"/>
              <w:left w:val="nil"/>
              <w:bottom w:val="nil"/>
              <w:right w:val="nil"/>
            </w:tcBorders>
            <w:vAlign w:val="center"/>
            <w:hideMark/>
          </w:tcPr>
          <w:p w14:paraId="5B55060E"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13.071</w:t>
            </w:r>
          </w:p>
        </w:tc>
        <w:tc>
          <w:tcPr>
            <w:tcW w:w="960" w:type="dxa"/>
            <w:tcBorders>
              <w:top w:val="nil"/>
              <w:left w:val="nil"/>
              <w:bottom w:val="nil"/>
              <w:right w:val="nil"/>
            </w:tcBorders>
            <w:vAlign w:val="center"/>
            <w:hideMark/>
          </w:tcPr>
          <w:p w14:paraId="67D62186"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12.350</w:t>
            </w:r>
          </w:p>
        </w:tc>
        <w:tc>
          <w:tcPr>
            <w:tcW w:w="960" w:type="dxa"/>
            <w:tcBorders>
              <w:top w:val="nil"/>
              <w:left w:val="nil"/>
              <w:bottom w:val="nil"/>
              <w:right w:val="nil"/>
            </w:tcBorders>
            <w:vAlign w:val="center"/>
            <w:hideMark/>
          </w:tcPr>
          <w:p w14:paraId="1CD0F4BD"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12.902</w:t>
            </w:r>
          </w:p>
        </w:tc>
        <w:tc>
          <w:tcPr>
            <w:tcW w:w="960" w:type="dxa"/>
            <w:tcBorders>
              <w:top w:val="nil"/>
              <w:left w:val="nil"/>
              <w:bottom w:val="nil"/>
              <w:right w:val="nil"/>
            </w:tcBorders>
            <w:vAlign w:val="center"/>
            <w:hideMark/>
          </w:tcPr>
          <w:p w14:paraId="1749AF15"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13.626</w:t>
            </w:r>
          </w:p>
        </w:tc>
        <w:tc>
          <w:tcPr>
            <w:tcW w:w="960" w:type="dxa"/>
            <w:tcBorders>
              <w:top w:val="nil"/>
              <w:left w:val="nil"/>
              <w:bottom w:val="nil"/>
              <w:right w:val="nil"/>
            </w:tcBorders>
            <w:vAlign w:val="center"/>
            <w:hideMark/>
          </w:tcPr>
          <w:p w14:paraId="00CE89DB"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15.214</w:t>
            </w:r>
          </w:p>
        </w:tc>
      </w:tr>
      <w:tr w:rsidR="009C623B" w:rsidRPr="009C623B" w14:paraId="35638623" w14:textId="77777777" w:rsidTr="009C623B">
        <w:trPr>
          <w:trHeight w:val="300"/>
        </w:trPr>
        <w:tc>
          <w:tcPr>
            <w:tcW w:w="2440" w:type="dxa"/>
            <w:tcBorders>
              <w:top w:val="nil"/>
              <w:left w:val="nil"/>
              <w:bottom w:val="nil"/>
              <w:right w:val="nil"/>
            </w:tcBorders>
            <w:vAlign w:val="center"/>
            <w:hideMark/>
          </w:tcPr>
          <w:p w14:paraId="100E93AC" w14:textId="77777777" w:rsidR="009C623B" w:rsidRPr="009C623B" w:rsidRDefault="009C623B" w:rsidP="00377E23">
            <w:pPr>
              <w:spacing w:after="0" w:line="240" w:lineRule="auto"/>
              <w:ind w:left="649"/>
              <w:contextualSpacing/>
              <w:rPr>
                <w:rFonts w:ascii="Times New Roman" w:eastAsia="Times New Roman" w:hAnsi="Times New Roman" w:cs="Times New Roman"/>
                <w:bCs/>
                <w:color w:val="000000"/>
                <w:kern w:val="0"/>
                <w:sz w:val="24"/>
                <w:szCs w:val="24"/>
                <w:lang w:eastAsia="pt-BR"/>
                <w14:ligatures w14:val="none"/>
              </w:rPr>
            </w:pPr>
            <w:r w:rsidRPr="009C623B">
              <w:rPr>
                <w:rFonts w:ascii="Times New Roman" w:eastAsia="Times New Roman" w:hAnsi="Times New Roman" w:cs="Times New Roman"/>
                <w:bCs/>
                <w:color w:val="000000"/>
                <w:kern w:val="0"/>
                <w:sz w:val="24"/>
                <w:szCs w:val="24"/>
                <w:lang w:eastAsia="pt-BR"/>
                <w14:ligatures w14:val="none"/>
              </w:rPr>
              <w:t>Piauí</w:t>
            </w:r>
          </w:p>
        </w:tc>
        <w:tc>
          <w:tcPr>
            <w:tcW w:w="960" w:type="dxa"/>
            <w:tcBorders>
              <w:top w:val="nil"/>
              <w:left w:val="nil"/>
              <w:bottom w:val="nil"/>
              <w:right w:val="nil"/>
            </w:tcBorders>
            <w:vAlign w:val="center"/>
            <w:hideMark/>
          </w:tcPr>
          <w:p w14:paraId="1A43DC21"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12.894</w:t>
            </w:r>
          </w:p>
        </w:tc>
        <w:tc>
          <w:tcPr>
            <w:tcW w:w="960" w:type="dxa"/>
            <w:tcBorders>
              <w:top w:val="nil"/>
              <w:left w:val="nil"/>
              <w:bottom w:val="nil"/>
              <w:right w:val="nil"/>
            </w:tcBorders>
            <w:vAlign w:val="center"/>
            <w:hideMark/>
          </w:tcPr>
          <w:p w14:paraId="3860A762"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13.693</w:t>
            </w:r>
          </w:p>
        </w:tc>
        <w:tc>
          <w:tcPr>
            <w:tcW w:w="960" w:type="dxa"/>
            <w:tcBorders>
              <w:top w:val="nil"/>
              <w:left w:val="nil"/>
              <w:bottom w:val="nil"/>
              <w:right w:val="nil"/>
            </w:tcBorders>
            <w:vAlign w:val="center"/>
            <w:hideMark/>
          </w:tcPr>
          <w:p w14:paraId="6F021E12"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14.455</w:t>
            </w:r>
          </w:p>
        </w:tc>
        <w:tc>
          <w:tcPr>
            <w:tcW w:w="960" w:type="dxa"/>
            <w:tcBorders>
              <w:top w:val="nil"/>
              <w:left w:val="nil"/>
              <w:bottom w:val="nil"/>
              <w:right w:val="nil"/>
            </w:tcBorders>
            <w:vAlign w:val="center"/>
            <w:hideMark/>
          </w:tcPr>
          <w:p w14:paraId="3F489B5D"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14.473</w:t>
            </w:r>
          </w:p>
        </w:tc>
        <w:tc>
          <w:tcPr>
            <w:tcW w:w="960" w:type="dxa"/>
            <w:tcBorders>
              <w:top w:val="nil"/>
              <w:left w:val="nil"/>
              <w:bottom w:val="nil"/>
              <w:right w:val="nil"/>
            </w:tcBorders>
            <w:vAlign w:val="center"/>
            <w:hideMark/>
          </w:tcPr>
          <w:p w14:paraId="5F7D1E51"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14.751</w:t>
            </w:r>
          </w:p>
        </w:tc>
        <w:tc>
          <w:tcPr>
            <w:tcW w:w="960" w:type="dxa"/>
            <w:tcBorders>
              <w:top w:val="nil"/>
              <w:left w:val="nil"/>
              <w:bottom w:val="nil"/>
              <w:right w:val="nil"/>
            </w:tcBorders>
            <w:vAlign w:val="center"/>
            <w:hideMark/>
          </w:tcPr>
          <w:p w14:paraId="5E00F9F7"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15.185</w:t>
            </w:r>
          </w:p>
        </w:tc>
        <w:tc>
          <w:tcPr>
            <w:tcW w:w="960" w:type="dxa"/>
            <w:tcBorders>
              <w:top w:val="nil"/>
              <w:left w:val="nil"/>
              <w:bottom w:val="nil"/>
              <w:right w:val="nil"/>
            </w:tcBorders>
            <w:vAlign w:val="center"/>
            <w:hideMark/>
          </w:tcPr>
          <w:p w14:paraId="66827230"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16.426</w:t>
            </w:r>
          </w:p>
        </w:tc>
      </w:tr>
      <w:tr w:rsidR="009C623B" w:rsidRPr="009C623B" w14:paraId="2D448E06" w14:textId="77777777" w:rsidTr="009C623B">
        <w:trPr>
          <w:trHeight w:val="300"/>
        </w:trPr>
        <w:tc>
          <w:tcPr>
            <w:tcW w:w="2440" w:type="dxa"/>
            <w:tcBorders>
              <w:top w:val="nil"/>
              <w:left w:val="nil"/>
              <w:bottom w:val="nil"/>
              <w:right w:val="nil"/>
            </w:tcBorders>
            <w:vAlign w:val="center"/>
            <w:hideMark/>
          </w:tcPr>
          <w:p w14:paraId="461DB95E" w14:textId="77777777" w:rsidR="009C623B" w:rsidRPr="009C623B" w:rsidRDefault="009C623B" w:rsidP="00377E23">
            <w:pPr>
              <w:spacing w:after="0" w:line="240" w:lineRule="auto"/>
              <w:ind w:left="649"/>
              <w:contextualSpacing/>
              <w:rPr>
                <w:rFonts w:ascii="Times New Roman" w:eastAsia="Times New Roman" w:hAnsi="Times New Roman" w:cs="Times New Roman"/>
                <w:bCs/>
                <w:color w:val="000000"/>
                <w:kern w:val="0"/>
                <w:sz w:val="24"/>
                <w:szCs w:val="24"/>
                <w:lang w:eastAsia="pt-BR"/>
                <w14:ligatures w14:val="none"/>
              </w:rPr>
            </w:pPr>
            <w:r w:rsidRPr="009C623B">
              <w:rPr>
                <w:rFonts w:ascii="Times New Roman" w:eastAsia="Times New Roman" w:hAnsi="Times New Roman" w:cs="Times New Roman"/>
                <w:bCs/>
                <w:color w:val="000000"/>
                <w:kern w:val="0"/>
                <w:sz w:val="24"/>
                <w:szCs w:val="24"/>
                <w:lang w:eastAsia="pt-BR"/>
                <w14:ligatures w14:val="none"/>
              </w:rPr>
              <w:t>Ceará</w:t>
            </w:r>
          </w:p>
        </w:tc>
        <w:tc>
          <w:tcPr>
            <w:tcW w:w="960" w:type="dxa"/>
            <w:tcBorders>
              <w:top w:val="nil"/>
              <w:left w:val="nil"/>
              <w:bottom w:val="nil"/>
              <w:right w:val="nil"/>
            </w:tcBorders>
            <w:vAlign w:val="center"/>
            <w:hideMark/>
          </w:tcPr>
          <w:p w14:paraId="7D5D1E04"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15.443</w:t>
            </w:r>
          </w:p>
        </w:tc>
        <w:tc>
          <w:tcPr>
            <w:tcW w:w="960" w:type="dxa"/>
            <w:tcBorders>
              <w:top w:val="nil"/>
              <w:left w:val="nil"/>
              <w:bottom w:val="nil"/>
              <w:right w:val="nil"/>
            </w:tcBorders>
            <w:vAlign w:val="center"/>
            <w:hideMark/>
          </w:tcPr>
          <w:p w14:paraId="78557B9B"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15.927</w:t>
            </w:r>
          </w:p>
        </w:tc>
        <w:tc>
          <w:tcPr>
            <w:tcW w:w="960" w:type="dxa"/>
            <w:tcBorders>
              <w:top w:val="nil"/>
              <w:left w:val="nil"/>
              <w:bottom w:val="nil"/>
              <w:right w:val="nil"/>
            </w:tcBorders>
            <w:vAlign w:val="center"/>
            <w:hideMark/>
          </w:tcPr>
          <w:p w14:paraId="0273E8C4"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16.088</w:t>
            </w:r>
          </w:p>
        </w:tc>
        <w:tc>
          <w:tcPr>
            <w:tcW w:w="960" w:type="dxa"/>
            <w:tcBorders>
              <w:top w:val="nil"/>
              <w:left w:val="nil"/>
              <w:bottom w:val="nil"/>
              <w:right w:val="nil"/>
            </w:tcBorders>
            <w:vAlign w:val="center"/>
            <w:hideMark/>
          </w:tcPr>
          <w:p w14:paraId="33B559A2"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16.073</w:t>
            </w:r>
          </w:p>
        </w:tc>
        <w:tc>
          <w:tcPr>
            <w:tcW w:w="960" w:type="dxa"/>
            <w:tcBorders>
              <w:top w:val="nil"/>
              <w:left w:val="nil"/>
              <w:bottom w:val="nil"/>
              <w:right w:val="nil"/>
            </w:tcBorders>
            <w:vAlign w:val="center"/>
            <w:hideMark/>
          </w:tcPr>
          <w:p w14:paraId="4F3C58B2"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15.594</w:t>
            </w:r>
          </w:p>
        </w:tc>
        <w:tc>
          <w:tcPr>
            <w:tcW w:w="960" w:type="dxa"/>
            <w:tcBorders>
              <w:top w:val="nil"/>
              <w:left w:val="nil"/>
              <w:bottom w:val="nil"/>
              <w:right w:val="nil"/>
            </w:tcBorders>
            <w:vAlign w:val="center"/>
            <w:hideMark/>
          </w:tcPr>
          <w:p w14:paraId="59238206"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16.454</w:t>
            </w:r>
          </w:p>
        </w:tc>
        <w:tc>
          <w:tcPr>
            <w:tcW w:w="960" w:type="dxa"/>
            <w:tcBorders>
              <w:top w:val="nil"/>
              <w:left w:val="nil"/>
              <w:bottom w:val="nil"/>
              <w:right w:val="nil"/>
            </w:tcBorders>
            <w:vAlign w:val="center"/>
            <w:hideMark/>
          </w:tcPr>
          <w:p w14:paraId="42400675"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17.906</w:t>
            </w:r>
          </w:p>
        </w:tc>
      </w:tr>
      <w:tr w:rsidR="009C623B" w:rsidRPr="009C623B" w14:paraId="347763E9" w14:textId="77777777" w:rsidTr="009C623B">
        <w:trPr>
          <w:trHeight w:val="300"/>
        </w:trPr>
        <w:tc>
          <w:tcPr>
            <w:tcW w:w="2440" w:type="dxa"/>
            <w:tcBorders>
              <w:top w:val="nil"/>
              <w:left w:val="nil"/>
              <w:bottom w:val="nil"/>
              <w:right w:val="nil"/>
            </w:tcBorders>
            <w:vAlign w:val="center"/>
            <w:hideMark/>
          </w:tcPr>
          <w:p w14:paraId="3A0935A6" w14:textId="77777777" w:rsidR="009C623B" w:rsidRPr="009C623B" w:rsidRDefault="009C623B" w:rsidP="00377E23">
            <w:pPr>
              <w:spacing w:after="0" w:line="240" w:lineRule="auto"/>
              <w:ind w:left="649"/>
              <w:contextualSpacing/>
              <w:rPr>
                <w:rFonts w:ascii="Times New Roman" w:eastAsia="Times New Roman" w:hAnsi="Times New Roman" w:cs="Times New Roman"/>
                <w:bCs/>
                <w:color w:val="000000"/>
                <w:kern w:val="0"/>
                <w:sz w:val="24"/>
                <w:szCs w:val="24"/>
                <w:lang w:eastAsia="pt-BR"/>
                <w14:ligatures w14:val="none"/>
              </w:rPr>
            </w:pPr>
            <w:r w:rsidRPr="009C623B">
              <w:rPr>
                <w:rFonts w:ascii="Times New Roman" w:eastAsia="Times New Roman" w:hAnsi="Times New Roman" w:cs="Times New Roman"/>
                <w:bCs/>
                <w:color w:val="000000"/>
                <w:kern w:val="0"/>
                <w:sz w:val="24"/>
                <w:szCs w:val="24"/>
                <w:lang w:eastAsia="pt-BR"/>
                <w14:ligatures w14:val="none"/>
              </w:rPr>
              <w:t>RN</w:t>
            </w:r>
          </w:p>
        </w:tc>
        <w:tc>
          <w:tcPr>
            <w:tcW w:w="960" w:type="dxa"/>
            <w:tcBorders>
              <w:top w:val="nil"/>
              <w:left w:val="nil"/>
              <w:bottom w:val="nil"/>
              <w:right w:val="nil"/>
            </w:tcBorders>
            <w:vAlign w:val="center"/>
            <w:hideMark/>
          </w:tcPr>
          <w:p w14:paraId="0E5C075C"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17.173</w:t>
            </w:r>
          </w:p>
        </w:tc>
        <w:tc>
          <w:tcPr>
            <w:tcW w:w="960" w:type="dxa"/>
            <w:tcBorders>
              <w:top w:val="nil"/>
              <w:left w:val="nil"/>
              <w:bottom w:val="nil"/>
              <w:right w:val="nil"/>
            </w:tcBorders>
            <w:vAlign w:val="center"/>
            <w:hideMark/>
          </w:tcPr>
          <w:p w14:paraId="7B931708"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17.815</w:t>
            </w:r>
          </w:p>
        </w:tc>
        <w:tc>
          <w:tcPr>
            <w:tcW w:w="960" w:type="dxa"/>
            <w:tcBorders>
              <w:top w:val="nil"/>
              <w:left w:val="nil"/>
              <w:bottom w:val="nil"/>
              <w:right w:val="nil"/>
            </w:tcBorders>
            <w:vAlign w:val="center"/>
            <w:hideMark/>
          </w:tcPr>
          <w:p w14:paraId="54E77A1A"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17.985</w:t>
            </w:r>
          </w:p>
        </w:tc>
        <w:tc>
          <w:tcPr>
            <w:tcW w:w="960" w:type="dxa"/>
            <w:tcBorders>
              <w:top w:val="nil"/>
              <w:left w:val="nil"/>
              <w:bottom w:val="nil"/>
              <w:right w:val="nil"/>
            </w:tcBorders>
            <w:vAlign w:val="center"/>
            <w:hideMark/>
          </w:tcPr>
          <w:p w14:paraId="4F441C60"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18.252</w:t>
            </w:r>
          </w:p>
        </w:tc>
        <w:tc>
          <w:tcPr>
            <w:tcW w:w="960" w:type="dxa"/>
            <w:tcBorders>
              <w:top w:val="nil"/>
              <w:left w:val="nil"/>
              <w:bottom w:val="nil"/>
              <w:right w:val="nil"/>
            </w:tcBorders>
            <w:vAlign w:val="center"/>
            <w:hideMark/>
          </w:tcPr>
          <w:p w14:paraId="03015C0E"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17.386</w:t>
            </w:r>
          </w:p>
        </w:tc>
        <w:tc>
          <w:tcPr>
            <w:tcW w:w="960" w:type="dxa"/>
            <w:tcBorders>
              <w:top w:val="nil"/>
              <w:left w:val="nil"/>
              <w:bottom w:val="nil"/>
              <w:right w:val="nil"/>
            </w:tcBorders>
            <w:vAlign w:val="center"/>
            <w:hideMark/>
          </w:tcPr>
          <w:p w14:paraId="66353C02"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17.563</w:t>
            </w:r>
          </w:p>
        </w:tc>
        <w:tc>
          <w:tcPr>
            <w:tcW w:w="960" w:type="dxa"/>
            <w:tcBorders>
              <w:top w:val="nil"/>
              <w:left w:val="nil"/>
              <w:bottom w:val="nil"/>
              <w:right w:val="nil"/>
            </w:tcBorders>
            <w:vAlign w:val="center"/>
            <w:hideMark/>
          </w:tcPr>
          <w:p w14:paraId="234BF80A"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20.944</w:t>
            </w:r>
          </w:p>
        </w:tc>
      </w:tr>
      <w:tr w:rsidR="009C623B" w:rsidRPr="009C623B" w14:paraId="495C02B5" w14:textId="77777777" w:rsidTr="009C623B">
        <w:trPr>
          <w:trHeight w:val="300"/>
        </w:trPr>
        <w:tc>
          <w:tcPr>
            <w:tcW w:w="2440" w:type="dxa"/>
            <w:tcBorders>
              <w:top w:val="nil"/>
              <w:left w:val="nil"/>
              <w:bottom w:val="nil"/>
              <w:right w:val="nil"/>
            </w:tcBorders>
            <w:vAlign w:val="center"/>
            <w:hideMark/>
          </w:tcPr>
          <w:p w14:paraId="6340B809" w14:textId="77777777" w:rsidR="009C623B" w:rsidRPr="009C623B" w:rsidRDefault="009C623B" w:rsidP="00377E23">
            <w:pPr>
              <w:spacing w:after="0" w:line="240" w:lineRule="auto"/>
              <w:ind w:left="649"/>
              <w:contextualSpacing/>
              <w:rPr>
                <w:rFonts w:ascii="Times New Roman" w:eastAsia="Times New Roman" w:hAnsi="Times New Roman" w:cs="Times New Roman"/>
                <w:bCs/>
                <w:color w:val="000000"/>
                <w:kern w:val="0"/>
                <w:sz w:val="24"/>
                <w:szCs w:val="24"/>
                <w:lang w:eastAsia="pt-BR"/>
                <w14:ligatures w14:val="none"/>
              </w:rPr>
            </w:pPr>
            <w:r w:rsidRPr="009C623B">
              <w:rPr>
                <w:rFonts w:ascii="Times New Roman" w:eastAsia="Times New Roman" w:hAnsi="Times New Roman" w:cs="Times New Roman"/>
                <w:bCs/>
                <w:color w:val="000000"/>
                <w:kern w:val="0"/>
                <w:sz w:val="24"/>
                <w:szCs w:val="24"/>
                <w:lang w:eastAsia="pt-BR"/>
                <w14:ligatures w14:val="none"/>
              </w:rPr>
              <w:t>PB</w:t>
            </w:r>
          </w:p>
        </w:tc>
        <w:tc>
          <w:tcPr>
            <w:tcW w:w="960" w:type="dxa"/>
            <w:tcBorders>
              <w:top w:val="nil"/>
              <w:left w:val="nil"/>
              <w:bottom w:val="nil"/>
              <w:right w:val="nil"/>
            </w:tcBorders>
            <w:vAlign w:val="center"/>
            <w:hideMark/>
          </w:tcPr>
          <w:p w14:paraId="44E11BAB"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14.778</w:t>
            </w:r>
          </w:p>
        </w:tc>
        <w:tc>
          <w:tcPr>
            <w:tcW w:w="960" w:type="dxa"/>
            <w:tcBorders>
              <w:top w:val="nil"/>
              <w:left w:val="nil"/>
              <w:bottom w:val="nil"/>
              <w:right w:val="nil"/>
            </w:tcBorders>
            <w:vAlign w:val="center"/>
            <w:hideMark/>
          </w:tcPr>
          <w:p w14:paraId="0AEF4644"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15.060</w:t>
            </w:r>
          </w:p>
        </w:tc>
        <w:tc>
          <w:tcPr>
            <w:tcW w:w="960" w:type="dxa"/>
            <w:tcBorders>
              <w:top w:val="nil"/>
              <w:left w:val="nil"/>
              <w:bottom w:val="nil"/>
              <w:right w:val="nil"/>
            </w:tcBorders>
            <w:vAlign w:val="center"/>
            <w:hideMark/>
          </w:tcPr>
          <w:p w14:paraId="18675BB3"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15.084</w:t>
            </w:r>
          </w:p>
        </w:tc>
        <w:tc>
          <w:tcPr>
            <w:tcW w:w="960" w:type="dxa"/>
            <w:tcBorders>
              <w:top w:val="nil"/>
              <w:left w:val="nil"/>
              <w:bottom w:val="nil"/>
              <w:right w:val="nil"/>
            </w:tcBorders>
            <w:vAlign w:val="center"/>
            <w:hideMark/>
          </w:tcPr>
          <w:p w14:paraId="50358FF5"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15.184</w:t>
            </w:r>
          </w:p>
        </w:tc>
        <w:tc>
          <w:tcPr>
            <w:tcW w:w="960" w:type="dxa"/>
            <w:tcBorders>
              <w:top w:val="nil"/>
              <w:left w:val="nil"/>
              <w:bottom w:val="nil"/>
              <w:right w:val="nil"/>
            </w:tcBorders>
            <w:vAlign w:val="center"/>
            <w:hideMark/>
          </w:tcPr>
          <w:p w14:paraId="31E0911B"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14.939</w:t>
            </w:r>
          </w:p>
        </w:tc>
        <w:tc>
          <w:tcPr>
            <w:tcW w:w="960" w:type="dxa"/>
            <w:tcBorders>
              <w:top w:val="nil"/>
              <w:left w:val="nil"/>
              <w:bottom w:val="nil"/>
              <w:right w:val="nil"/>
            </w:tcBorders>
            <w:vAlign w:val="center"/>
            <w:hideMark/>
          </w:tcPr>
          <w:p w14:paraId="0F2B9041"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14.882</w:t>
            </w:r>
          </w:p>
        </w:tc>
        <w:tc>
          <w:tcPr>
            <w:tcW w:w="960" w:type="dxa"/>
            <w:tcBorders>
              <w:top w:val="nil"/>
              <w:left w:val="nil"/>
              <w:bottom w:val="nil"/>
              <w:right w:val="nil"/>
            </w:tcBorders>
            <w:vAlign w:val="center"/>
            <w:hideMark/>
          </w:tcPr>
          <w:p w14:paraId="1549C01E"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15.974</w:t>
            </w:r>
          </w:p>
        </w:tc>
      </w:tr>
      <w:tr w:rsidR="009C623B" w:rsidRPr="009C623B" w14:paraId="44055301" w14:textId="77777777" w:rsidTr="009C623B">
        <w:trPr>
          <w:trHeight w:val="300"/>
        </w:trPr>
        <w:tc>
          <w:tcPr>
            <w:tcW w:w="2440" w:type="dxa"/>
            <w:tcBorders>
              <w:top w:val="nil"/>
              <w:left w:val="nil"/>
              <w:bottom w:val="nil"/>
              <w:right w:val="nil"/>
            </w:tcBorders>
            <w:vAlign w:val="center"/>
            <w:hideMark/>
          </w:tcPr>
          <w:p w14:paraId="69E0C25A" w14:textId="77777777" w:rsidR="009C623B" w:rsidRPr="009C623B" w:rsidRDefault="009C623B" w:rsidP="00377E23">
            <w:pPr>
              <w:spacing w:after="0" w:line="240" w:lineRule="auto"/>
              <w:ind w:left="649"/>
              <w:contextualSpacing/>
              <w:rPr>
                <w:rFonts w:ascii="Times New Roman" w:eastAsia="Times New Roman" w:hAnsi="Times New Roman" w:cs="Times New Roman"/>
                <w:bCs/>
                <w:color w:val="000000"/>
                <w:kern w:val="0"/>
                <w:sz w:val="24"/>
                <w:szCs w:val="24"/>
                <w:lang w:eastAsia="pt-BR"/>
                <w14:ligatures w14:val="none"/>
              </w:rPr>
            </w:pPr>
            <w:r w:rsidRPr="009C623B">
              <w:rPr>
                <w:rFonts w:ascii="Times New Roman" w:eastAsia="Times New Roman" w:hAnsi="Times New Roman" w:cs="Times New Roman"/>
                <w:bCs/>
                <w:color w:val="000000"/>
                <w:kern w:val="0"/>
                <w:sz w:val="24"/>
                <w:szCs w:val="24"/>
                <w:lang w:eastAsia="pt-BR"/>
                <w14:ligatures w14:val="none"/>
              </w:rPr>
              <w:t>PE</w:t>
            </w:r>
          </w:p>
        </w:tc>
        <w:tc>
          <w:tcPr>
            <w:tcW w:w="960" w:type="dxa"/>
            <w:tcBorders>
              <w:top w:val="nil"/>
              <w:left w:val="nil"/>
              <w:bottom w:val="nil"/>
              <w:right w:val="nil"/>
            </w:tcBorders>
            <w:vAlign w:val="center"/>
            <w:hideMark/>
          </w:tcPr>
          <w:p w14:paraId="6E8CE669"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17.783</w:t>
            </w:r>
          </w:p>
        </w:tc>
        <w:tc>
          <w:tcPr>
            <w:tcW w:w="960" w:type="dxa"/>
            <w:tcBorders>
              <w:top w:val="nil"/>
              <w:left w:val="nil"/>
              <w:bottom w:val="nil"/>
              <w:right w:val="nil"/>
            </w:tcBorders>
            <w:vAlign w:val="center"/>
            <w:hideMark/>
          </w:tcPr>
          <w:p w14:paraId="2E7043AE"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18.626</w:t>
            </w:r>
          </w:p>
        </w:tc>
        <w:tc>
          <w:tcPr>
            <w:tcW w:w="960" w:type="dxa"/>
            <w:tcBorders>
              <w:top w:val="nil"/>
              <w:left w:val="nil"/>
              <w:bottom w:val="nil"/>
              <w:right w:val="nil"/>
            </w:tcBorders>
            <w:vAlign w:val="center"/>
            <w:hideMark/>
          </w:tcPr>
          <w:p w14:paraId="23E135AA"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18.376</w:t>
            </w:r>
          </w:p>
        </w:tc>
        <w:tc>
          <w:tcPr>
            <w:tcW w:w="960" w:type="dxa"/>
            <w:tcBorders>
              <w:top w:val="nil"/>
              <w:left w:val="nil"/>
              <w:bottom w:val="nil"/>
              <w:right w:val="nil"/>
            </w:tcBorders>
            <w:vAlign w:val="center"/>
            <w:hideMark/>
          </w:tcPr>
          <w:p w14:paraId="11D4913A"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18.584</w:t>
            </w:r>
          </w:p>
        </w:tc>
        <w:tc>
          <w:tcPr>
            <w:tcW w:w="960" w:type="dxa"/>
            <w:tcBorders>
              <w:top w:val="nil"/>
              <w:left w:val="nil"/>
              <w:bottom w:val="nil"/>
              <w:right w:val="nil"/>
            </w:tcBorders>
            <w:vAlign w:val="center"/>
            <w:hideMark/>
          </w:tcPr>
          <w:p w14:paraId="22D42913"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17.252</w:t>
            </w:r>
          </w:p>
        </w:tc>
        <w:tc>
          <w:tcPr>
            <w:tcW w:w="960" w:type="dxa"/>
            <w:tcBorders>
              <w:top w:val="nil"/>
              <w:left w:val="nil"/>
              <w:bottom w:val="nil"/>
              <w:right w:val="nil"/>
            </w:tcBorders>
            <w:vAlign w:val="center"/>
            <w:hideMark/>
          </w:tcPr>
          <w:p w14:paraId="403890EC"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17.797</w:t>
            </w:r>
          </w:p>
        </w:tc>
        <w:tc>
          <w:tcPr>
            <w:tcW w:w="960" w:type="dxa"/>
            <w:tcBorders>
              <w:top w:val="nil"/>
              <w:left w:val="nil"/>
              <w:bottom w:val="nil"/>
              <w:right w:val="nil"/>
            </w:tcBorders>
            <w:vAlign w:val="center"/>
            <w:hideMark/>
          </w:tcPr>
          <w:p w14:paraId="551C9177"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19.998</w:t>
            </w:r>
          </w:p>
        </w:tc>
      </w:tr>
      <w:tr w:rsidR="009C623B" w:rsidRPr="009C623B" w14:paraId="24C953F1" w14:textId="77777777" w:rsidTr="009C623B">
        <w:trPr>
          <w:trHeight w:val="300"/>
        </w:trPr>
        <w:tc>
          <w:tcPr>
            <w:tcW w:w="2440" w:type="dxa"/>
            <w:tcBorders>
              <w:top w:val="nil"/>
              <w:left w:val="nil"/>
              <w:bottom w:val="nil"/>
              <w:right w:val="nil"/>
            </w:tcBorders>
            <w:vAlign w:val="center"/>
            <w:hideMark/>
          </w:tcPr>
          <w:p w14:paraId="1B4E1FDD" w14:textId="77777777" w:rsidR="009C623B" w:rsidRPr="009C623B" w:rsidRDefault="009C623B" w:rsidP="00377E23">
            <w:pPr>
              <w:spacing w:after="0" w:line="240" w:lineRule="auto"/>
              <w:ind w:left="649"/>
              <w:contextualSpacing/>
              <w:rPr>
                <w:rFonts w:ascii="Times New Roman" w:eastAsia="Times New Roman" w:hAnsi="Times New Roman" w:cs="Times New Roman"/>
                <w:bCs/>
                <w:color w:val="000000"/>
                <w:kern w:val="0"/>
                <w:sz w:val="24"/>
                <w:szCs w:val="24"/>
                <w:lang w:eastAsia="pt-BR"/>
                <w14:ligatures w14:val="none"/>
              </w:rPr>
            </w:pPr>
            <w:r w:rsidRPr="009C623B">
              <w:rPr>
                <w:rFonts w:ascii="Times New Roman" w:eastAsia="Times New Roman" w:hAnsi="Times New Roman" w:cs="Times New Roman"/>
                <w:bCs/>
                <w:color w:val="000000"/>
                <w:kern w:val="0"/>
                <w:sz w:val="24"/>
                <w:szCs w:val="24"/>
                <w:lang w:eastAsia="pt-BR"/>
                <w14:ligatures w14:val="none"/>
              </w:rPr>
              <w:t>AL</w:t>
            </w:r>
          </w:p>
        </w:tc>
        <w:tc>
          <w:tcPr>
            <w:tcW w:w="960" w:type="dxa"/>
            <w:tcBorders>
              <w:top w:val="nil"/>
              <w:left w:val="nil"/>
              <w:bottom w:val="nil"/>
              <w:right w:val="nil"/>
            </w:tcBorders>
            <w:vAlign w:val="center"/>
            <w:hideMark/>
          </w:tcPr>
          <w:p w14:paraId="1F29143D"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14.727</w:t>
            </w:r>
          </w:p>
        </w:tc>
        <w:tc>
          <w:tcPr>
            <w:tcW w:w="960" w:type="dxa"/>
            <w:tcBorders>
              <w:top w:val="nil"/>
              <w:left w:val="nil"/>
              <w:bottom w:val="nil"/>
              <w:right w:val="nil"/>
            </w:tcBorders>
            <w:vAlign w:val="center"/>
            <w:hideMark/>
          </w:tcPr>
          <w:p w14:paraId="05FA2F6C"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15.212</w:t>
            </w:r>
          </w:p>
        </w:tc>
        <w:tc>
          <w:tcPr>
            <w:tcW w:w="960" w:type="dxa"/>
            <w:tcBorders>
              <w:top w:val="nil"/>
              <w:left w:val="nil"/>
              <w:bottom w:val="nil"/>
              <w:right w:val="nil"/>
            </w:tcBorders>
            <w:vAlign w:val="center"/>
            <w:hideMark/>
          </w:tcPr>
          <w:p w14:paraId="69F9EBBE"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15.332</w:t>
            </w:r>
          </w:p>
        </w:tc>
        <w:tc>
          <w:tcPr>
            <w:tcW w:w="960" w:type="dxa"/>
            <w:tcBorders>
              <w:top w:val="nil"/>
              <w:left w:val="nil"/>
              <w:bottom w:val="nil"/>
              <w:right w:val="nil"/>
            </w:tcBorders>
            <w:vAlign w:val="center"/>
            <w:hideMark/>
          </w:tcPr>
          <w:p w14:paraId="33D5C9FE"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15.862</w:t>
            </w:r>
          </w:p>
        </w:tc>
        <w:tc>
          <w:tcPr>
            <w:tcW w:w="960" w:type="dxa"/>
            <w:tcBorders>
              <w:top w:val="nil"/>
              <w:left w:val="nil"/>
              <w:bottom w:val="nil"/>
              <w:right w:val="nil"/>
            </w:tcBorders>
            <w:vAlign w:val="center"/>
            <w:hideMark/>
          </w:tcPr>
          <w:p w14:paraId="2BB2D351"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16.191</w:t>
            </w:r>
          </w:p>
        </w:tc>
        <w:tc>
          <w:tcPr>
            <w:tcW w:w="960" w:type="dxa"/>
            <w:tcBorders>
              <w:top w:val="nil"/>
              <w:left w:val="nil"/>
              <w:bottom w:val="nil"/>
              <w:right w:val="nil"/>
            </w:tcBorders>
            <w:vAlign w:val="center"/>
            <w:hideMark/>
          </w:tcPr>
          <w:p w14:paraId="06618D31"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17.675</w:t>
            </w:r>
          </w:p>
        </w:tc>
        <w:tc>
          <w:tcPr>
            <w:tcW w:w="960" w:type="dxa"/>
            <w:tcBorders>
              <w:top w:val="nil"/>
              <w:left w:val="nil"/>
              <w:bottom w:val="nil"/>
              <w:right w:val="nil"/>
            </w:tcBorders>
            <w:vAlign w:val="center"/>
            <w:hideMark/>
          </w:tcPr>
          <w:p w14:paraId="67723E35"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17.933</w:t>
            </w:r>
          </w:p>
        </w:tc>
      </w:tr>
      <w:tr w:rsidR="009C623B" w:rsidRPr="009C623B" w14:paraId="25398776" w14:textId="77777777" w:rsidTr="009C623B">
        <w:trPr>
          <w:trHeight w:val="300"/>
        </w:trPr>
        <w:tc>
          <w:tcPr>
            <w:tcW w:w="2440" w:type="dxa"/>
            <w:tcBorders>
              <w:top w:val="nil"/>
              <w:left w:val="nil"/>
              <w:bottom w:val="nil"/>
              <w:right w:val="nil"/>
            </w:tcBorders>
            <w:vAlign w:val="center"/>
            <w:hideMark/>
          </w:tcPr>
          <w:p w14:paraId="5AA6127A" w14:textId="77777777" w:rsidR="009C623B" w:rsidRPr="009C623B" w:rsidRDefault="009C623B" w:rsidP="00377E23">
            <w:pPr>
              <w:spacing w:after="0" w:line="240" w:lineRule="auto"/>
              <w:ind w:left="649"/>
              <w:contextualSpacing/>
              <w:rPr>
                <w:rFonts w:ascii="Times New Roman" w:eastAsia="Times New Roman" w:hAnsi="Times New Roman" w:cs="Times New Roman"/>
                <w:bCs/>
                <w:color w:val="000000"/>
                <w:kern w:val="0"/>
                <w:sz w:val="24"/>
                <w:szCs w:val="24"/>
                <w:lang w:eastAsia="pt-BR"/>
                <w14:ligatures w14:val="none"/>
              </w:rPr>
            </w:pPr>
            <w:r w:rsidRPr="009C623B">
              <w:rPr>
                <w:rFonts w:ascii="Times New Roman" w:eastAsia="Times New Roman" w:hAnsi="Times New Roman" w:cs="Times New Roman"/>
                <w:bCs/>
                <w:color w:val="000000"/>
                <w:kern w:val="0"/>
                <w:sz w:val="24"/>
                <w:szCs w:val="24"/>
                <w:lang w:eastAsia="pt-BR"/>
                <w14:ligatures w14:val="none"/>
              </w:rPr>
              <w:t>SE</w:t>
            </w:r>
          </w:p>
        </w:tc>
        <w:tc>
          <w:tcPr>
            <w:tcW w:w="960" w:type="dxa"/>
            <w:tcBorders>
              <w:top w:val="nil"/>
              <w:left w:val="nil"/>
              <w:bottom w:val="nil"/>
              <w:right w:val="nil"/>
            </w:tcBorders>
            <w:vAlign w:val="center"/>
            <w:hideMark/>
          </w:tcPr>
          <w:p w14:paraId="301FA890"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17.159</w:t>
            </w:r>
          </w:p>
        </w:tc>
        <w:tc>
          <w:tcPr>
            <w:tcW w:w="960" w:type="dxa"/>
            <w:tcBorders>
              <w:top w:val="nil"/>
              <w:left w:val="nil"/>
              <w:bottom w:val="nil"/>
              <w:right w:val="nil"/>
            </w:tcBorders>
            <w:vAlign w:val="center"/>
            <w:hideMark/>
          </w:tcPr>
          <w:p w14:paraId="499278C6"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17.288</w:t>
            </w:r>
          </w:p>
        </w:tc>
        <w:tc>
          <w:tcPr>
            <w:tcW w:w="960" w:type="dxa"/>
            <w:tcBorders>
              <w:top w:val="nil"/>
              <w:left w:val="nil"/>
              <w:bottom w:val="nil"/>
              <w:right w:val="nil"/>
            </w:tcBorders>
            <w:vAlign w:val="center"/>
            <w:hideMark/>
          </w:tcPr>
          <w:p w14:paraId="13302351"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17.271</w:t>
            </w:r>
          </w:p>
        </w:tc>
        <w:tc>
          <w:tcPr>
            <w:tcW w:w="960" w:type="dxa"/>
            <w:tcBorders>
              <w:top w:val="nil"/>
              <w:left w:val="nil"/>
              <w:bottom w:val="nil"/>
              <w:right w:val="nil"/>
            </w:tcBorders>
            <w:vAlign w:val="center"/>
            <w:hideMark/>
          </w:tcPr>
          <w:p w14:paraId="38C796AB"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17.451</w:t>
            </w:r>
          </w:p>
        </w:tc>
        <w:tc>
          <w:tcPr>
            <w:tcW w:w="960" w:type="dxa"/>
            <w:tcBorders>
              <w:top w:val="nil"/>
              <w:left w:val="nil"/>
              <w:bottom w:val="nil"/>
              <w:right w:val="nil"/>
            </w:tcBorders>
            <w:vAlign w:val="center"/>
            <w:hideMark/>
          </w:tcPr>
          <w:p w14:paraId="5BEBF975"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16.813</w:t>
            </w:r>
          </w:p>
        </w:tc>
        <w:tc>
          <w:tcPr>
            <w:tcW w:w="960" w:type="dxa"/>
            <w:tcBorders>
              <w:top w:val="nil"/>
              <w:left w:val="nil"/>
              <w:bottom w:val="nil"/>
              <w:right w:val="nil"/>
            </w:tcBorders>
            <w:vAlign w:val="center"/>
            <w:hideMark/>
          </w:tcPr>
          <w:p w14:paraId="06CDE775"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17.304</w:t>
            </w:r>
          </w:p>
        </w:tc>
        <w:tc>
          <w:tcPr>
            <w:tcW w:w="960" w:type="dxa"/>
            <w:tcBorders>
              <w:top w:val="nil"/>
              <w:left w:val="nil"/>
              <w:bottom w:val="nil"/>
              <w:right w:val="nil"/>
            </w:tcBorders>
            <w:vAlign w:val="center"/>
            <w:hideMark/>
          </w:tcPr>
          <w:p w14:paraId="243520D6"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19.144</w:t>
            </w:r>
          </w:p>
        </w:tc>
      </w:tr>
      <w:tr w:rsidR="009C623B" w:rsidRPr="009C623B" w14:paraId="3152567C" w14:textId="77777777" w:rsidTr="009C623B">
        <w:trPr>
          <w:trHeight w:val="300"/>
        </w:trPr>
        <w:tc>
          <w:tcPr>
            <w:tcW w:w="2440" w:type="dxa"/>
            <w:tcBorders>
              <w:top w:val="nil"/>
              <w:left w:val="nil"/>
              <w:bottom w:val="nil"/>
              <w:right w:val="nil"/>
            </w:tcBorders>
            <w:vAlign w:val="center"/>
            <w:hideMark/>
          </w:tcPr>
          <w:p w14:paraId="2B0E8BEA" w14:textId="77777777" w:rsidR="009C623B" w:rsidRPr="009C623B" w:rsidRDefault="009C623B" w:rsidP="00377E23">
            <w:pPr>
              <w:spacing w:after="0" w:line="240" w:lineRule="auto"/>
              <w:ind w:left="649"/>
              <w:contextualSpacing/>
              <w:rPr>
                <w:rFonts w:ascii="Times New Roman" w:eastAsia="Times New Roman" w:hAnsi="Times New Roman" w:cs="Times New Roman"/>
                <w:bCs/>
                <w:color w:val="000000"/>
                <w:kern w:val="0"/>
                <w:sz w:val="24"/>
                <w:szCs w:val="24"/>
                <w:lang w:eastAsia="pt-BR"/>
                <w14:ligatures w14:val="none"/>
              </w:rPr>
            </w:pPr>
            <w:r w:rsidRPr="009C623B">
              <w:rPr>
                <w:rFonts w:ascii="Times New Roman" w:eastAsia="Times New Roman" w:hAnsi="Times New Roman" w:cs="Times New Roman"/>
                <w:bCs/>
                <w:color w:val="000000"/>
                <w:kern w:val="0"/>
                <w:sz w:val="24"/>
                <w:szCs w:val="24"/>
                <w:lang w:eastAsia="pt-BR"/>
                <w14:ligatures w14:val="none"/>
              </w:rPr>
              <w:t>Bahia</w:t>
            </w:r>
          </w:p>
        </w:tc>
        <w:tc>
          <w:tcPr>
            <w:tcW w:w="960" w:type="dxa"/>
            <w:tcBorders>
              <w:top w:val="nil"/>
              <w:left w:val="nil"/>
              <w:bottom w:val="nil"/>
              <w:right w:val="nil"/>
            </w:tcBorders>
            <w:vAlign w:val="center"/>
            <w:hideMark/>
          </w:tcPr>
          <w:p w14:paraId="681A65E0"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16.937</w:t>
            </w:r>
          </w:p>
        </w:tc>
        <w:tc>
          <w:tcPr>
            <w:tcW w:w="960" w:type="dxa"/>
            <w:tcBorders>
              <w:top w:val="nil"/>
              <w:left w:val="nil"/>
              <w:bottom w:val="nil"/>
              <w:right w:val="nil"/>
            </w:tcBorders>
            <w:vAlign w:val="center"/>
            <w:hideMark/>
          </w:tcPr>
          <w:p w14:paraId="57C3225B"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17.016</w:t>
            </w:r>
          </w:p>
        </w:tc>
        <w:tc>
          <w:tcPr>
            <w:tcW w:w="960" w:type="dxa"/>
            <w:tcBorders>
              <w:top w:val="nil"/>
              <w:left w:val="nil"/>
              <w:bottom w:val="nil"/>
              <w:right w:val="nil"/>
            </w:tcBorders>
            <w:vAlign w:val="center"/>
            <w:hideMark/>
          </w:tcPr>
          <w:p w14:paraId="7409F10B"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18.101</w:t>
            </w:r>
          </w:p>
        </w:tc>
        <w:tc>
          <w:tcPr>
            <w:tcW w:w="960" w:type="dxa"/>
            <w:tcBorders>
              <w:top w:val="nil"/>
              <w:left w:val="nil"/>
              <w:bottom w:val="nil"/>
              <w:right w:val="nil"/>
            </w:tcBorders>
            <w:vAlign w:val="center"/>
            <w:hideMark/>
          </w:tcPr>
          <w:p w14:paraId="3C713A18"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17.701</w:t>
            </w:r>
          </w:p>
        </w:tc>
        <w:tc>
          <w:tcPr>
            <w:tcW w:w="960" w:type="dxa"/>
            <w:tcBorders>
              <w:top w:val="nil"/>
              <w:left w:val="nil"/>
              <w:bottom w:val="nil"/>
              <w:right w:val="nil"/>
            </w:tcBorders>
            <w:vAlign w:val="center"/>
            <w:hideMark/>
          </w:tcPr>
          <w:p w14:paraId="5ECE7160"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17.553</w:t>
            </w:r>
          </w:p>
        </w:tc>
        <w:tc>
          <w:tcPr>
            <w:tcW w:w="960" w:type="dxa"/>
            <w:tcBorders>
              <w:top w:val="nil"/>
              <w:left w:val="nil"/>
              <w:bottom w:val="nil"/>
              <w:right w:val="nil"/>
            </w:tcBorders>
            <w:vAlign w:val="center"/>
            <w:hideMark/>
          </w:tcPr>
          <w:p w14:paraId="30E054BB"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18.352</w:t>
            </w:r>
          </w:p>
        </w:tc>
        <w:tc>
          <w:tcPr>
            <w:tcW w:w="960" w:type="dxa"/>
            <w:tcBorders>
              <w:top w:val="nil"/>
              <w:left w:val="nil"/>
              <w:bottom w:val="nil"/>
              <w:right w:val="nil"/>
            </w:tcBorders>
            <w:vAlign w:val="center"/>
            <w:hideMark/>
          </w:tcPr>
          <w:p w14:paraId="291F5025"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20.996</w:t>
            </w:r>
          </w:p>
        </w:tc>
      </w:tr>
      <w:tr w:rsidR="009C623B" w:rsidRPr="009C623B" w14:paraId="328761A5" w14:textId="77777777" w:rsidTr="009C623B">
        <w:trPr>
          <w:trHeight w:val="300"/>
        </w:trPr>
        <w:tc>
          <w:tcPr>
            <w:tcW w:w="2440" w:type="dxa"/>
            <w:tcBorders>
              <w:top w:val="nil"/>
              <w:left w:val="nil"/>
              <w:bottom w:val="nil"/>
              <w:right w:val="nil"/>
            </w:tcBorders>
            <w:vAlign w:val="center"/>
            <w:hideMark/>
          </w:tcPr>
          <w:p w14:paraId="3ECCB1FB" w14:textId="77777777" w:rsidR="009C623B" w:rsidRPr="009C623B" w:rsidRDefault="009C623B" w:rsidP="00377E23">
            <w:pPr>
              <w:spacing w:after="0" w:line="240" w:lineRule="auto"/>
              <w:contextualSpacing/>
              <w:rPr>
                <w:rFonts w:ascii="Times New Roman" w:eastAsia="Times New Roman" w:hAnsi="Times New Roman" w:cs="Times New Roman"/>
                <w:bCs/>
                <w:color w:val="000000"/>
                <w:kern w:val="0"/>
                <w:sz w:val="24"/>
                <w:szCs w:val="24"/>
                <w:lang w:eastAsia="pt-BR"/>
                <w14:ligatures w14:val="none"/>
              </w:rPr>
            </w:pPr>
            <w:r w:rsidRPr="009C623B">
              <w:rPr>
                <w:rFonts w:ascii="Times New Roman" w:eastAsia="Times New Roman" w:hAnsi="Times New Roman" w:cs="Times New Roman"/>
                <w:bCs/>
                <w:color w:val="000000"/>
                <w:kern w:val="0"/>
                <w:sz w:val="24"/>
                <w:szCs w:val="24"/>
                <w:lang w:eastAsia="pt-BR"/>
                <w14:ligatures w14:val="none"/>
              </w:rPr>
              <w:t>Sudeste</w:t>
            </w:r>
          </w:p>
        </w:tc>
        <w:tc>
          <w:tcPr>
            <w:tcW w:w="960" w:type="dxa"/>
            <w:tcBorders>
              <w:top w:val="nil"/>
              <w:left w:val="nil"/>
              <w:bottom w:val="nil"/>
              <w:right w:val="nil"/>
            </w:tcBorders>
            <w:vAlign w:val="center"/>
            <w:hideMark/>
          </w:tcPr>
          <w:p w14:paraId="4DD4C958"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38.598</w:t>
            </w:r>
          </w:p>
        </w:tc>
        <w:tc>
          <w:tcPr>
            <w:tcW w:w="960" w:type="dxa"/>
            <w:tcBorders>
              <w:top w:val="nil"/>
              <w:left w:val="nil"/>
              <w:bottom w:val="nil"/>
              <w:right w:val="nil"/>
            </w:tcBorders>
            <w:vAlign w:val="center"/>
            <w:hideMark/>
          </w:tcPr>
          <w:p w14:paraId="773D02AB"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38.909</w:t>
            </w:r>
          </w:p>
        </w:tc>
        <w:tc>
          <w:tcPr>
            <w:tcW w:w="960" w:type="dxa"/>
            <w:tcBorders>
              <w:top w:val="nil"/>
              <w:left w:val="nil"/>
              <w:bottom w:val="nil"/>
              <w:right w:val="nil"/>
            </w:tcBorders>
            <w:vAlign w:val="center"/>
            <w:hideMark/>
          </w:tcPr>
          <w:p w14:paraId="7A9C41D2"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39.722</w:t>
            </w:r>
          </w:p>
        </w:tc>
        <w:tc>
          <w:tcPr>
            <w:tcW w:w="960" w:type="dxa"/>
            <w:tcBorders>
              <w:top w:val="nil"/>
              <w:left w:val="nil"/>
              <w:bottom w:val="nil"/>
              <w:right w:val="nil"/>
            </w:tcBorders>
            <w:vAlign w:val="center"/>
            <w:hideMark/>
          </w:tcPr>
          <w:p w14:paraId="5795FE1D"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39.778</w:t>
            </w:r>
          </w:p>
        </w:tc>
        <w:tc>
          <w:tcPr>
            <w:tcW w:w="960" w:type="dxa"/>
            <w:tcBorders>
              <w:top w:val="nil"/>
              <w:left w:val="nil"/>
              <w:bottom w:val="nil"/>
              <w:right w:val="nil"/>
            </w:tcBorders>
            <w:vAlign w:val="center"/>
            <w:hideMark/>
          </w:tcPr>
          <w:p w14:paraId="30427CDF"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38.127</w:t>
            </w:r>
          </w:p>
        </w:tc>
        <w:tc>
          <w:tcPr>
            <w:tcW w:w="960" w:type="dxa"/>
            <w:tcBorders>
              <w:top w:val="nil"/>
              <w:left w:val="nil"/>
              <w:bottom w:val="nil"/>
              <w:right w:val="nil"/>
            </w:tcBorders>
            <w:vAlign w:val="center"/>
            <w:hideMark/>
          </w:tcPr>
          <w:p w14:paraId="01BD44CB"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41.010</w:t>
            </w:r>
          </w:p>
        </w:tc>
        <w:tc>
          <w:tcPr>
            <w:tcW w:w="960" w:type="dxa"/>
            <w:tcBorders>
              <w:top w:val="nil"/>
              <w:left w:val="nil"/>
              <w:bottom w:val="nil"/>
              <w:right w:val="nil"/>
            </w:tcBorders>
            <w:vAlign w:val="center"/>
            <w:hideMark/>
          </w:tcPr>
          <w:p w14:paraId="5504C1B0"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46.692</w:t>
            </w:r>
          </w:p>
        </w:tc>
      </w:tr>
      <w:tr w:rsidR="009C623B" w:rsidRPr="009C623B" w14:paraId="504C4B02" w14:textId="77777777" w:rsidTr="001F0AEA">
        <w:trPr>
          <w:trHeight w:val="300"/>
        </w:trPr>
        <w:tc>
          <w:tcPr>
            <w:tcW w:w="2440" w:type="dxa"/>
            <w:tcBorders>
              <w:top w:val="nil"/>
              <w:left w:val="nil"/>
              <w:right w:val="nil"/>
            </w:tcBorders>
            <w:vAlign w:val="center"/>
            <w:hideMark/>
          </w:tcPr>
          <w:p w14:paraId="0EB9C638" w14:textId="77777777" w:rsidR="009C623B" w:rsidRPr="009C623B" w:rsidRDefault="009C623B" w:rsidP="00377E23">
            <w:pPr>
              <w:spacing w:after="0" w:line="240" w:lineRule="auto"/>
              <w:contextualSpacing/>
              <w:rPr>
                <w:rFonts w:ascii="Times New Roman" w:eastAsia="Times New Roman" w:hAnsi="Times New Roman" w:cs="Times New Roman"/>
                <w:bCs/>
                <w:color w:val="000000"/>
                <w:kern w:val="0"/>
                <w:sz w:val="24"/>
                <w:szCs w:val="24"/>
                <w:lang w:eastAsia="pt-BR"/>
                <w14:ligatures w14:val="none"/>
              </w:rPr>
            </w:pPr>
            <w:r w:rsidRPr="009C623B">
              <w:rPr>
                <w:rFonts w:ascii="Times New Roman" w:eastAsia="Times New Roman" w:hAnsi="Times New Roman" w:cs="Times New Roman"/>
                <w:bCs/>
                <w:color w:val="000000"/>
                <w:kern w:val="0"/>
                <w:sz w:val="24"/>
                <w:szCs w:val="24"/>
                <w:lang w:eastAsia="pt-BR"/>
                <w14:ligatures w14:val="none"/>
              </w:rPr>
              <w:t>Sul</w:t>
            </w:r>
          </w:p>
        </w:tc>
        <w:tc>
          <w:tcPr>
            <w:tcW w:w="960" w:type="dxa"/>
            <w:tcBorders>
              <w:top w:val="nil"/>
              <w:left w:val="nil"/>
              <w:right w:val="nil"/>
            </w:tcBorders>
            <w:vAlign w:val="center"/>
            <w:hideMark/>
          </w:tcPr>
          <w:p w14:paraId="07F60C91"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36.256</w:t>
            </w:r>
          </w:p>
        </w:tc>
        <w:tc>
          <w:tcPr>
            <w:tcW w:w="960" w:type="dxa"/>
            <w:tcBorders>
              <w:top w:val="nil"/>
              <w:left w:val="nil"/>
              <w:right w:val="nil"/>
            </w:tcBorders>
            <w:vAlign w:val="center"/>
            <w:hideMark/>
          </w:tcPr>
          <w:p w14:paraId="054CCF53"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36.766</w:t>
            </w:r>
          </w:p>
        </w:tc>
        <w:tc>
          <w:tcPr>
            <w:tcW w:w="960" w:type="dxa"/>
            <w:tcBorders>
              <w:top w:val="nil"/>
              <w:left w:val="nil"/>
              <w:right w:val="nil"/>
            </w:tcBorders>
            <w:vAlign w:val="center"/>
            <w:hideMark/>
          </w:tcPr>
          <w:p w14:paraId="6EBA62EA"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37.610</w:t>
            </w:r>
          </w:p>
        </w:tc>
        <w:tc>
          <w:tcPr>
            <w:tcW w:w="960" w:type="dxa"/>
            <w:tcBorders>
              <w:top w:val="nil"/>
              <w:left w:val="nil"/>
              <w:right w:val="nil"/>
            </w:tcBorders>
            <w:vAlign w:val="center"/>
            <w:hideMark/>
          </w:tcPr>
          <w:p w14:paraId="7F719AF2"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38.087</w:t>
            </w:r>
          </w:p>
        </w:tc>
        <w:tc>
          <w:tcPr>
            <w:tcW w:w="960" w:type="dxa"/>
            <w:tcBorders>
              <w:top w:val="nil"/>
              <w:left w:val="nil"/>
              <w:right w:val="nil"/>
            </w:tcBorders>
            <w:vAlign w:val="center"/>
            <w:hideMark/>
          </w:tcPr>
          <w:p w14:paraId="44524481"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37.192</w:t>
            </w:r>
          </w:p>
        </w:tc>
        <w:tc>
          <w:tcPr>
            <w:tcW w:w="960" w:type="dxa"/>
            <w:tcBorders>
              <w:top w:val="nil"/>
              <w:left w:val="nil"/>
              <w:right w:val="nil"/>
            </w:tcBorders>
            <w:vAlign w:val="center"/>
            <w:hideMark/>
          </w:tcPr>
          <w:p w14:paraId="231AD5D1"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40.009</w:t>
            </w:r>
          </w:p>
        </w:tc>
        <w:tc>
          <w:tcPr>
            <w:tcW w:w="960" w:type="dxa"/>
            <w:tcBorders>
              <w:top w:val="nil"/>
              <w:left w:val="nil"/>
              <w:right w:val="nil"/>
            </w:tcBorders>
            <w:vAlign w:val="center"/>
            <w:hideMark/>
          </w:tcPr>
          <w:p w14:paraId="57897B4E"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41.256</w:t>
            </w:r>
          </w:p>
        </w:tc>
      </w:tr>
      <w:tr w:rsidR="009C623B" w:rsidRPr="009C623B" w14:paraId="5755D089" w14:textId="77777777" w:rsidTr="001F0AEA">
        <w:trPr>
          <w:trHeight w:val="300"/>
        </w:trPr>
        <w:tc>
          <w:tcPr>
            <w:tcW w:w="2440" w:type="dxa"/>
            <w:tcBorders>
              <w:top w:val="nil"/>
              <w:left w:val="nil"/>
              <w:bottom w:val="single" w:sz="4" w:space="0" w:color="auto"/>
              <w:right w:val="nil"/>
            </w:tcBorders>
            <w:vAlign w:val="center"/>
            <w:hideMark/>
          </w:tcPr>
          <w:p w14:paraId="19E6663E" w14:textId="77777777" w:rsidR="009C623B" w:rsidRPr="009C623B" w:rsidRDefault="009C623B" w:rsidP="00377E23">
            <w:pPr>
              <w:spacing w:after="0" w:line="240" w:lineRule="auto"/>
              <w:contextualSpacing/>
              <w:rPr>
                <w:rFonts w:ascii="Times New Roman" w:eastAsia="Times New Roman" w:hAnsi="Times New Roman" w:cs="Times New Roman"/>
                <w:bCs/>
                <w:color w:val="000000"/>
                <w:kern w:val="0"/>
                <w:sz w:val="24"/>
                <w:szCs w:val="24"/>
                <w:lang w:eastAsia="pt-BR"/>
                <w14:ligatures w14:val="none"/>
              </w:rPr>
            </w:pPr>
            <w:r w:rsidRPr="009C623B">
              <w:rPr>
                <w:rFonts w:ascii="Times New Roman" w:eastAsia="Times New Roman" w:hAnsi="Times New Roman" w:cs="Times New Roman"/>
                <w:bCs/>
                <w:color w:val="000000"/>
                <w:kern w:val="0"/>
                <w:sz w:val="24"/>
                <w:szCs w:val="24"/>
                <w:lang w:eastAsia="pt-BR"/>
                <w14:ligatures w14:val="none"/>
              </w:rPr>
              <w:t>Centro-Oeste</w:t>
            </w:r>
          </w:p>
        </w:tc>
        <w:tc>
          <w:tcPr>
            <w:tcW w:w="960" w:type="dxa"/>
            <w:tcBorders>
              <w:top w:val="nil"/>
              <w:left w:val="nil"/>
              <w:bottom w:val="single" w:sz="4" w:space="0" w:color="auto"/>
              <w:right w:val="nil"/>
            </w:tcBorders>
            <w:vAlign w:val="center"/>
            <w:hideMark/>
          </w:tcPr>
          <w:p w14:paraId="36ED1C2F"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40.424</w:t>
            </w:r>
          </w:p>
        </w:tc>
        <w:tc>
          <w:tcPr>
            <w:tcW w:w="960" w:type="dxa"/>
            <w:tcBorders>
              <w:top w:val="nil"/>
              <w:left w:val="nil"/>
              <w:bottom w:val="single" w:sz="4" w:space="0" w:color="auto"/>
              <w:right w:val="nil"/>
            </w:tcBorders>
            <w:vAlign w:val="center"/>
            <w:hideMark/>
          </w:tcPr>
          <w:p w14:paraId="415F11BD"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40.390</w:t>
            </w:r>
          </w:p>
        </w:tc>
        <w:tc>
          <w:tcPr>
            <w:tcW w:w="960" w:type="dxa"/>
            <w:tcBorders>
              <w:top w:val="nil"/>
              <w:left w:val="nil"/>
              <w:bottom w:val="single" w:sz="4" w:space="0" w:color="auto"/>
              <w:right w:val="nil"/>
            </w:tcBorders>
            <w:vAlign w:val="center"/>
            <w:hideMark/>
          </w:tcPr>
          <w:p w14:paraId="77385141"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40.451</w:t>
            </w:r>
          </w:p>
        </w:tc>
        <w:tc>
          <w:tcPr>
            <w:tcW w:w="960" w:type="dxa"/>
            <w:tcBorders>
              <w:top w:val="nil"/>
              <w:left w:val="nil"/>
              <w:bottom w:val="single" w:sz="4" w:space="0" w:color="auto"/>
              <w:right w:val="nil"/>
            </w:tcBorders>
            <w:vAlign w:val="center"/>
            <w:hideMark/>
          </w:tcPr>
          <w:p w14:paraId="46922366"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40.267</w:t>
            </w:r>
          </w:p>
        </w:tc>
        <w:tc>
          <w:tcPr>
            <w:tcW w:w="960" w:type="dxa"/>
            <w:tcBorders>
              <w:top w:val="nil"/>
              <w:left w:val="nil"/>
              <w:bottom w:val="single" w:sz="4" w:space="0" w:color="auto"/>
              <w:right w:val="nil"/>
            </w:tcBorders>
            <w:vAlign w:val="center"/>
            <w:hideMark/>
          </w:tcPr>
          <w:p w14:paraId="6F64D266"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41.153</w:t>
            </w:r>
          </w:p>
        </w:tc>
        <w:tc>
          <w:tcPr>
            <w:tcW w:w="960" w:type="dxa"/>
            <w:tcBorders>
              <w:top w:val="nil"/>
              <w:left w:val="nil"/>
              <w:bottom w:val="single" w:sz="4" w:space="0" w:color="auto"/>
              <w:right w:val="nil"/>
            </w:tcBorders>
            <w:vAlign w:val="center"/>
            <w:hideMark/>
          </w:tcPr>
          <w:p w14:paraId="09E884CD"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43.523</w:t>
            </w:r>
          </w:p>
        </w:tc>
        <w:tc>
          <w:tcPr>
            <w:tcW w:w="960" w:type="dxa"/>
            <w:tcBorders>
              <w:top w:val="nil"/>
              <w:left w:val="nil"/>
              <w:bottom w:val="single" w:sz="4" w:space="0" w:color="auto"/>
              <w:right w:val="nil"/>
            </w:tcBorders>
            <w:vAlign w:val="center"/>
            <w:hideMark/>
          </w:tcPr>
          <w:p w14:paraId="383B55C2" w14:textId="77777777" w:rsidR="009C623B" w:rsidRPr="009C623B" w:rsidRDefault="009C623B" w:rsidP="00377E23">
            <w:pPr>
              <w:spacing w:after="0" w:line="240" w:lineRule="auto"/>
              <w:contextualSpacing/>
              <w:jc w:val="center"/>
              <w:rPr>
                <w:rFonts w:ascii="Times New Roman" w:eastAsia="Times New Roman" w:hAnsi="Times New Roman" w:cs="Times New Roman"/>
                <w:color w:val="000000"/>
                <w:kern w:val="0"/>
                <w:sz w:val="24"/>
                <w:szCs w:val="24"/>
                <w:lang w:eastAsia="pt-BR"/>
                <w14:ligatures w14:val="none"/>
              </w:rPr>
            </w:pPr>
            <w:r w:rsidRPr="009C623B">
              <w:rPr>
                <w:rFonts w:ascii="Times New Roman" w:eastAsia="Times New Roman" w:hAnsi="Times New Roman" w:cs="Times New Roman"/>
                <w:color w:val="000000"/>
                <w:kern w:val="0"/>
                <w:sz w:val="24"/>
                <w:szCs w:val="24"/>
                <w:lang w:eastAsia="pt-BR"/>
                <w14:ligatures w14:val="none"/>
              </w:rPr>
              <w:t>48.419</w:t>
            </w:r>
          </w:p>
        </w:tc>
      </w:tr>
    </w:tbl>
    <w:p w14:paraId="17E333B7" w14:textId="77777777" w:rsidR="00E07542" w:rsidRPr="00541D57" w:rsidRDefault="00734A37" w:rsidP="00377E23">
      <w:pPr>
        <w:spacing w:after="0" w:line="240" w:lineRule="auto"/>
        <w:contextualSpacing/>
        <w:jc w:val="both"/>
        <w:rPr>
          <w:rFonts w:ascii="Times New Roman" w:eastAsia="Times New Roman" w:hAnsi="Times New Roman" w:cs="Times New Roman"/>
          <w:sz w:val="24"/>
          <w:szCs w:val="24"/>
        </w:rPr>
      </w:pPr>
      <w:r w:rsidRPr="001F0AEA">
        <w:rPr>
          <w:rStyle w:val="Forte"/>
          <w:rFonts w:ascii="Times New Roman" w:hAnsi="Times New Roman" w:cs="Times New Roman"/>
          <w:sz w:val="24"/>
          <w:szCs w:val="24"/>
        </w:rPr>
        <w:t>Fonte:</w:t>
      </w:r>
      <w:r w:rsidRPr="001F0AEA">
        <w:rPr>
          <w:rFonts w:ascii="Times New Roman" w:hAnsi="Times New Roman" w:cs="Times New Roman"/>
          <w:sz w:val="24"/>
          <w:szCs w:val="24"/>
        </w:rPr>
        <w:t xml:space="preserve"> Elaboração própria com base em dados deflacionados pelo IPCA (IBGE, 2023).</w:t>
      </w:r>
      <w:r w:rsidRPr="001F0AEA">
        <w:rPr>
          <w:rFonts w:ascii="Times New Roman" w:hAnsi="Times New Roman" w:cs="Times New Roman"/>
          <w:sz w:val="24"/>
          <w:szCs w:val="24"/>
        </w:rPr>
        <w:br/>
      </w:r>
      <w:r w:rsidR="00E07542" w:rsidRPr="00541D57">
        <w:rPr>
          <w:rStyle w:val="Forte"/>
          <w:rFonts w:ascii="Times New Roman" w:hAnsi="Times New Roman" w:cs="Times New Roman"/>
          <w:sz w:val="24"/>
          <w:szCs w:val="24"/>
        </w:rPr>
        <w:t>Nota:</w:t>
      </w:r>
      <w:r w:rsidR="00E07542">
        <w:rPr>
          <w:rFonts w:ascii="Times New Roman" w:hAnsi="Times New Roman" w:cs="Times New Roman"/>
          <w:sz w:val="24"/>
          <w:szCs w:val="24"/>
        </w:rPr>
        <w:t xml:space="preserve"> </w:t>
      </w:r>
      <w:r w:rsidR="00E07542" w:rsidRPr="00541D57">
        <w:rPr>
          <w:rFonts w:ascii="Times New Roman" w:hAnsi="Times New Roman" w:cs="Times New Roman"/>
          <w:sz w:val="24"/>
          <w:szCs w:val="24"/>
        </w:rPr>
        <w:t xml:space="preserve">Valores deflacionados para preços constantes </w:t>
      </w:r>
      <w:r w:rsidR="00E07542">
        <w:rPr>
          <w:rFonts w:ascii="Times New Roman" w:hAnsi="Times New Roman" w:cs="Times New Roman"/>
          <w:sz w:val="24"/>
          <w:szCs w:val="24"/>
        </w:rPr>
        <w:t xml:space="preserve">pelo IPCA </w:t>
      </w:r>
      <w:r w:rsidR="00E07542" w:rsidRPr="00541D57">
        <w:rPr>
          <w:rFonts w:ascii="Times New Roman" w:hAnsi="Times New Roman" w:cs="Times New Roman"/>
          <w:sz w:val="24"/>
          <w:szCs w:val="24"/>
        </w:rPr>
        <w:t>de 2016, em milhões de reais.</w:t>
      </w:r>
    </w:p>
    <w:p w14:paraId="0A6FF2E4" w14:textId="11F8FBDE" w:rsidR="002C2198" w:rsidRPr="00E07542" w:rsidRDefault="002C2198" w:rsidP="00377E23">
      <w:pPr>
        <w:spacing w:after="0" w:line="360" w:lineRule="auto"/>
        <w:contextualSpacing/>
        <w:jc w:val="both"/>
        <w:rPr>
          <w:rFonts w:ascii="Times New Roman" w:eastAsia="Times New Roman" w:hAnsi="Times New Roman" w:cs="Times New Roman"/>
          <w:b/>
          <w:sz w:val="24"/>
          <w:szCs w:val="24"/>
        </w:rPr>
      </w:pPr>
    </w:p>
    <w:p w14:paraId="03C5CD67" w14:textId="42FDA76C" w:rsidR="002C2198" w:rsidRPr="005A6271" w:rsidRDefault="002C2198" w:rsidP="00377E23">
      <w:pPr>
        <w:pBdr>
          <w:top w:val="nil"/>
          <w:left w:val="nil"/>
          <w:bottom w:val="nil"/>
          <w:right w:val="nil"/>
          <w:between w:val="nil"/>
        </w:pBdr>
        <w:shd w:val="clear" w:color="auto" w:fill="FFFFFF"/>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Execução das d</w:t>
      </w:r>
      <w:r w:rsidRPr="005A6271">
        <w:rPr>
          <w:rFonts w:ascii="Times New Roman" w:eastAsia="Times New Roman" w:hAnsi="Times New Roman" w:cs="Times New Roman"/>
          <w:b/>
          <w:sz w:val="24"/>
          <w:szCs w:val="24"/>
        </w:rPr>
        <w:t>espesas nos setores econ</w:t>
      </w:r>
      <w:r>
        <w:rPr>
          <w:rFonts w:ascii="Times New Roman" w:eastAsia="Times New Roman" w:hAnsi="Times New Roman" w:cs="Times New Roman"/>
          <w:b/>
          <w:sz w:val="24"/>
          <w:szCs w:val="24"/>
        </w:rPr>
        <w:t xml:space="preserve">ômicos por parte do governo da </w:t>
      </w:r>
      <w:r w:rsidR="005342DC">
        <w:rPr>
          <w:rFonts w:ascii="Times New Roman" w:eastAsia="Times New Roman" w:hAnsi="Times New Roman" w:cs="Times New Roman"/>
          <w:b/>
          <w:sz w:val="24"/>
          <w:szCs w:val="24"/>
        </w:rPr>
        <w:t>Paraíba</w:t>
      </w:r>
    </w:p>
    <w:p w14:paraId="34F11E99" w14:textId="77777777" w:rsidR="00740750" w:rsidRDefault="00740750" w:rsidP="00377E23">
      <w:pPr>
        <w:shd w:val="clear" w:color="auto" w:fill="FFFFFF"/>
        <w:spacing w:after="0" w:line="360" w:lineRule="auto"/>
        <w:ind w:firstLine="567"/>
        <w:contextualSpacing/>
        <w:jc w:val="both"/>
        <w:rPr>
          <w:rFonts w:ascii="Times New Roman" w:eastAsia="Times New Roman" w:hAnsi="Times New Roman" w:cs="Times New Roman"/>
          <w:sz w:val="24"/>
          <w:szCs w:val="24"/>
        </w:rPr>
      </w:pPr>
    </w:p>
    <w:p w14:paraId="13E688AF" w14:textId="37D5AC10" w:rsidR="002C2198" w:rsidRPr="002F68A0" w:rsidRDefault="002C2198" w:rsidP="00377E23">
      <w:pPr>
        <w:shd w:val="clear" w:color="auto" w:fill="FFFFFF"/>
        <w:spacing w:after="0" w:line="36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entendimento da forma de como os governos estaduais executam suas despesas possibilita melhor avaliação das políticas de incentivos ao desenvolvimento. Assim, o governo do estado da </w:t>
      </w:r>
      <w:r w:rsidR="005342DC">
        <w:rPr>
          <w:rFonts w:ascii="Times New Roman" w:eastAsia="Times New Roman" w:hAnsi="Times New Roman" w:cs="Times New Roman"/>
          <w:sz w:val="24"/>
          <w:szCs w:val="24"/>
        </w:rPr>
        <w:t>Paraíba</w:t>
      </w:r>
      <w:r>
        <w:rPr>
          <w:rFonts w:ascii="Times New Roman" w:eastAsia="Times New Roman" w:hAnsi="Times New Roman" w:cs="Times New Roman"/>
          <w:sz w:val="24"/>
          <w:szCs w:val="24"/>
        </w:rPr>
        <w:t xml:space="preserve"> tem demonstrado preocupação com este desenvolvimento destinando parte do seu orçamento para fomentar setores que compõem a sua economia.</w:t>
      </w:r>
    </w:p>
    <w:p w14:paraId="0E1662EA" w14:textId="60EB25A5" w:rsidR="002C2198" w:rsidRPr="002F68A0" w:rsidRDefault="002C2198" w:rsidP="00377E23">
      <w:pPr>
        <w:shd w:val="clear" w:color="auto" w:fill="FFFFFF"/>
        <w:spacing w:after="0" w:line="36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coleta de dados permitiu a análise descritiva de todos os setores econômicos</w:t>
      </w:r>
      <w:r w:rsidR="0002784E">
        <w:rPr>
          <w:rFonts w:ascii="Times New Roman" w:eastAsia="Times New Roman" w:hAnsi="Times New Roman" w:cs="Times New Roman"/>
          <w:sz w:val="24"/>
          <w:szCs w:val="24"/>
        </w:rPr>
        <w:t xml:space="preserve"> do Estado (Figura 3</w:t>
      </w:r>
      <w:r>
        <w:rPr>
          <w:rFonts w:ascii="Times New Roman" w:eastAsia="Times New Roman" w:hAnsi="Times New Roman" w:cs="Times New Roman"/>
          <w:sz w:val="24"/>
          <w:szCs w:val="24"/>
        </w:rPr>
        <w:t xml:space="preserve">). A execução das despesas do setor agrícola do estado da </w:t>
      </w:r>
      <w:r w:rsidR="005342DC">
        <w:rPr>
          <w:rFonts w:ascii="Times New Roman" w:eastAsia="Times New Roman" w:hAnsi="Times New Roman" w:cs="Times New Roman"/>
          <w:sz w:val="24"/>
          <w:szCs w:val="24"/>
        </w:rPr>
        <w:t>Paraíba</w:t>
      </w:r>
      <w:r>
        <w:rPr>
          <w:rFonts w:ascii="Times New Roman" w:eastAsia="Times New Roman" w:hAnsi="Times New Roman" w:cs="Times New Roman"/>
          <w:sz w:val="24"/>
          <w:szCs w:val="24"/>
        </w:rPr>
        <w:t xml:space="preserve"> assevera um</w:t>
      </w:r>
      <w:r w:rsidRPr="002F68A0">
        <w:rPr>
          <w:rFonts w:ascii="Times New Roman" w:eastAsia="Times New Roman" w:hAnsi="Times New Roman" w:cs="Times New Roman"/>
          <w:sz w:val="24"/>
          <w:szCs w:val="24"/>
        </w:rPr>
        <w:t xml:space="preserve"> comportamento </w:t>
      </w:r>
      <w:r>
        <w:rPr>
          <w:rFonts w:ascii="Times New Roman" w:eastAsia="Times New Roman" w:hAnsi="Times New Roman" w:cs="Times New Roman"/>
          <w:sz w:val="24"/>
          <w:szCs w:val="24"/>
        </w:rPr>
        <w:t>concentrado</w:t>
      </w:r>
      <w:r w:rsidRPr="002F68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das despesas </w:t>
      </w:r>
      <w:r w:rsidRPr="002F68A0">
        <w:rPr>
          <w:rFonts w:ascii="Times New Roman" w:eastAsia="Times New Roman" w:hAnsi="Times New Roman" w:cs="Times New Roman"/>
          <w:sz w:val="24"/>
          <w:szCs w:val="24"/>
        </w:rPr>
        <w:t>ao longo do período analisado</w:t>
      </w:r>
      <w:r>
        <w:rPr>
          <w:rFonts w:ascii="Times New Roman" w:eastAsia="Times New Roman" w:hAnsi="Times New Roman" w:cs="Times New Roman"/>
          <w:sz w:val="24"/>
          <w:szCs w:val="24"/>
        </w:rPr>
        <w:t xml:space="preserve">. Houve um crescimento gradual nos anos de 2016 a </w:t>
      </w:r>
      <w:r w:rsidRPr="002F68A0">
        <w:rPr>
          <w:rFonts w:ascii="Times New Roman" w:eastAsia="Times New Roman" w:hAnsi="Times New Roman" w:cs="Times New Roman"/>
          <w:sz w:val="24"/>
          <w:szCs w:val="24"/>
        </w:rPr>
        <w:t>2018, que pode ser associada às políticas de fortalecimento da agricultura familiar</w:t>
      </w:r>
      <w:r>
        <w:rPr>
          <w:rFonts w:ascii="Times New Roman" w:eastAsia="Times New Roman" w:hAnsi="Times New Roman" w:cs="Times New Roman"/>
          <w:sz w:val="24"/>
          <w:szCs w:val="24"/>
        </w:rPr>
        <w:t>,</w:t>
      </w:r>
      <w:r w:rsidRPr="002F68A0">
        <w:rPr>
          <w:rFonts w:ascii="Times New Roman" w:eastAsia="Times New Roman" w:hAnsi="Times New Roman" w:cs="Times New Roman"/>
          <w:sz w:val="24"/>
          <w:szCs w:val="24"/>
        </w:rPr>
        <w:t xml:space="preserve"> o programa de irrigação</w:t>
      </w:r>
      <w:r>
        <w:rPr>
          <w:rFonts w:ascii="Times New Roman" w:eastAsia="Times New Roman" w:hAnsi="Times New Roman" w:cs="Times New Roman"/>
          <w:sz w:val="24"/>
          <w:szCs w:val="24"/>
        </w:rPr>
        <w:t xml:space="preserve">, sendo que, no ano de 2019 este setor </w:t>
      </w:r>
      <w:r w:rsidRPr="002F68A0">
        <w:rPr>
          <w:rFonts w:ascii="Times New Roman" w:eastAsia="Times New Roman" w:hAnsi="Times New Roman" w:cs="Times New Roman"/>
          <w:sz w:val="24"/>
          <w:szCs w:val="24"/>
        </w:rPr>
        <w:t>sofreu uma redução de recursos. Esta queda pode refletir tanto ajustes fiscais quanto mudanças nas prioridades do governo. A recuperação parcial observada em 2021-2022 sugere um reposicionamento da agricultura como eixo estratégico de segurança alimentar ou convivência com períodos de seca.</w:t>
      </w:r>
    </w:p>
    <w:p w14:paraId="0BDD6D79" w14:textId="77777777" w:rsidR="002C2198" w:rsidRPr="002F68A0" w:rsidRDefault="002C2198" w:rsidP="00377E23">
      <w:pPr>
        <w:shd w:val="clear" w:color="auto" w:fill="FFFFFF"/>
        <w:spacing w:after="0" w:line="360" w:lineRule="auto"/>
        <w:ind w:firstLine="567"/>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O setor de comércio e serviços apresenta constância</w:t>
      </w:r>
      <w:r>
        <w:rPr>
          <w:rFonts w:ascii="Times New Roman" w:eastAsia="Times New Roman" w:hAnsi="Times New Roman" w:cs="Times New Roman"/>
          <w:sz w:val="24"/>
          <w:szCs w:val="24"/>
        </w:rPr>
        <w:t xml:space="preserve"> na destinação das despesas do estado o que </w:t>
      </w:r>
      <w:r w:rsidRPr="002F68A0">
        <w:rPr>
          <w:rFonts w:ascii="Times New Roman" w:eastAsia="Times New Roman" w:hAnsi="Times New Roman" w:cs="Times New Roman"/>
          <w:sz w:val="24"/>
          <w:szCs w:val="24"/>
        </w:rPr>
        <w:t>demonstra</w:t>
      </w:r>
      <w:r>
        <w:rPr>
          <w:rFonts w:ascii="Times New Roman" w:eastAsia="Times New Roman" w:hAnsi="Times New Roman" w:cs="Times New Roman"/>
          <w:sz w:val="24"/>
          <w:szCs w:val="24"/>
        </w:rPr>
        <w:t xml:space="preserve"> </w:t>
      </w:r>
      <w:r w:rsidRPr="002F68A0">
        <w:rPr>
          <w:rFonts w:ascii="Times New Roman" w:eastAsia="Times New Roman" w:hAnsi="Times New Roman" w:cs="Times New Roman"/>
          <w:sz w:val="24"/>
          <w:szCs w:val="24"/>
        </w:rPr>
        <w:t>o reconhecimento governamental da importância deste setor como base da economia paraibana. Particularmente em 2020, ano marcado pela pandemia de COVID 19, observou-se um acréscimo nos recursos por meio de subsídio destinados a esta área, revelando uma estratégia de proteção ao setor de comércio e serviços durante a crise.</w:t>
      </w:r>
    </w:p>
    <w:p w14:paraId="48BD72DA" w14:textId="77777777" w:rsidR="002C2198" w:rsidRPr="002F68A0" w:rsidRDefault="002C2198" w:rsidP="00377E23">
      <w:pPr>
        <w:shd w:val="clear" w:color="auto" w:fill="FFFFFF"/>
        <w:spacing w:after="0" w:line="360" w:lineRule="auto"/>
        <w:ind w:firstLine="567"/>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O setor industrial mostrou-se o mais sensível às conjunturas econômicas. A queda de financiamento em 2018 e em 2019</w:t>
      </w:r>
      <w:r>
        <w:rPr>
          <w:rFonts w:ascii="Times New Roman" w:eastAsia="Times New Roman" w:hAnsi="Times New Roman" w:cs="Times New Roman"/>
          <w:sz w:val="24"/>
          <w:szCs w:val="24"/>
        </w:rPr>
        <w:t xml:space="preserve"> à indústria local revelam</w:t>
      </w:r>
      <w:r w:rsidRPr="002F68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reflexos das políticas de austeridade do governo federal a partir do ano de 2016</w:t>
      </w:r>
      <w:r w:rsidRPr="002F68A0">
        <w:rPr>
          <w:rFonts w:ascii="Times New Roman" w:eastAsia="Times New Roman" w:hAnsi="Times New Roman" w:cs="Times New Roman"/>
          <w:sz w:val="24"/>
          <w:szCs w:val="24"/>
        </w:rPr>
        <w:t>. Contudo, a capacidade de recuperação demonstrada nos anos subsequentes a cada crise</w:t>
      </w:r>
      <w:r>
        <w:rPr>
          <w:rFonts w:ascii="Times New Roman" w:eastAsia="Times New Roman" w:hAnsi="Times New Roman" w:cs="Times New Roman"/>
          <w:sz w:val="24"/>
          <w:szCs w:val="24"/>
        </w:rPr>
        <w:t xml:space="preserve"> (austeridade e crise sanitária)</w:t>
      </w:r>
      <w:r w:rsidRPr="002F68A0">
        <w:rPr>
          <w:rFonts w:ascii="Times New Roman" w:eastAsia="Times New Roman" w:hAnsi="Times New Roman" w:cs="Times New Roman"/>
          <w:sz w:val="24"/>
          <w:szCs w:val="24"/>
        </w:rPr>
        <w:t xml:space="preserve"> indica a resiliência do setor e o compromisso governamental em mantê-lo como parte fundamental da matriz econômica estadual</w:t>
      </w:r>
      <w:r>
        <w:rPr>
          <w:rFonts w:ascii="Times New Roman" w:eastAsia="Times New Roman" w:hAnsi="Times New Roman" w:cs="Times New Roman"/>
          <w:sz w:val="24"/>
          <w:szCs w:val="24"/>
        </w:rPr>
        <w:t>.</w:t>
      </w:r>
    </w:p>
    <w:p w14:paraId="2AF14AFF" w14:textId="32C273AD" w:rsidR="00AF05EB" w:rsidRDefault="002C2198" w:rsidP="00740750">
      <w:pPr>
        <w:shd w:val="clear" w:color="auto" w:fill="FFFFFF"/>
        <w:spacing w:after="0" w:line="360" w:lineRule="auto"/>
        <w:ind w:firstLine="567"/>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 xml:space="preserve">Assim, é perceptível que o governo da </w:t>
      </w:r>
      <w:r w:rsidR="005342DC">
        <w:rPr>
          <w:rFonts w:ascii="Times New Roman" w:eastAsia="Times New Roman" w:hAnsi="Times New Roman" w:cs="Times New Roman"/>
          <w:sz w:val="24"/>
          <w:szCs w:val="24"/>
        </w:rPr>
        <w:t>Paraíba</w:t>
      </w:r>
      <w:r w:rsidRPr="002F68A0">
        <w:rPr>
          <w:rFonts w:ascii="Times New Roman" w:eastAsia="Times New Roman" w:hAnsi="Times New Roman" w:cs="Times New Roman"/>
          <w:sz w:val="24"/>
          <w:szCs w:val="24"/>
        </w:rPr>
        <w:t xml:space="preserve"> adotou uma abordagem pragmática na alocação de recursos, privilegiando </w:t>
      </w:r>
      <w:r>
        <w:rPr>
          <w:rFonts w:ascii="Times New Roman" w:eastAsia="Times New Roman" w:hAnsi="Times New Roman" w:cs="Times New Roman"/>
          <w:sz w:val="24"/>
          <w:szCs w:val="24"/>
        </w:rPr>
        <w:t xml:space="preserve">agricultura e a </w:t>
      </w:r>
      <w:r w:rsidRPr="002F68A0">
        <w:rPr>
          <w:rFonts w:ascii="Times New Roman" w:eastAsia="Times New Roman" w:hAnsi="Times New Roman" w:cs="Times New Roman"/>
          <w:sz w:val="24"/>
          <w:szCs w:val="24"/>
        </w:rPr>
        <w:t>agropecuária, enquanto ajustava investimentos em comércio e serviços e indústria</w:t>
      </w:r>
      <w:r>
        <w:rPr>
          <w:rFonts w:ascii="Times New Roman" w:eastAsia="Times New Roman" w:hAnsi="Times New Roman" w:cs="Times New Roman"/>
          <w:sz w:val="24"/>
          <w:szCs w:val="24"/>
        </w:rPr>
        <w:t>,</w:t>
      </w:r>
      <w:r w:rsidRPr="002F68A0">
        <w:rPr>
          <w:rFonts w:ascii="Times New Roman" w:eastAsia="Times New Roman" w:hAnsi="Times New Roman" w:cs="Times New Roman"/>
          <w:sz w:val="24"/>
          <w:szCs w:val="24"/>
        </w:rPr>
        <w:t xml:space="preserve"> conforme necessidades específicas de cada período.</w:t>
      </w:r>
    </w:p>
    <w:p w14:paraId="68DC7C14" w14:textId="77777777" w:rsidR="00740750" w:rsidRDefault="00740750" w:rsidP="00740750">
      <w:pPr>
        <w:shd w:val="clear" w:color="auto" w:fill="FFFFFF"/>
        <w:spacing w:after="0" w:line="360" w:lineRule="auto"/>
        <w:ind w:firstLine="567"/>
        <w:contextualSpacing/>
        <w:jc w:val="both"/>
        <w:rPr>
          <w:rFonts w:ascii="Times New Roman" w:eastAsia="Times New Roman" w:hAnsi="Times New Roman" w:cs="Times New Roman"/>
          <w:sz w:val="24"/>
          <w:szCs w:val="24"/>
        </w:rPr>
      </w:pPr>
    </w:p>
    <w:p w14:paraId="4DE8A994" w14:textId="77777777" w:rsidR="00740750" w:rsidRDefault="00740750" w:rsidP="00740750">
      <w:pPr>
        <w:shd w:val="clear" w:color="auto" w:fill="FFFFFF"/>
        <w:spacing w:after="0" w:line="360" w:lineRule="auto"/>
        <w:ind w:firstLine="567"/>
        <w:contextualSpacing/>
        <w:jc w:val="both"/>
        <w:rPr>
          <w:rFonts w:ascii="Times New Roman" w:eastAsia="Times New Roman" w:hAnsi="Times New Roman" w:cs="Times New Roman"/>
          <w:sz w:val="24"/>
          <w:szCs w:val="24"/>
        </w:rPr>
      </w:pPr>
    </w:p>
    <w:p w14:paraId="71BE8494" w14:textId="77777777" w:rsidR="00740750" w:rsidRDefault="00740750" w:rsidP="00740750">
      <w:pPr>
        <w:shd w:val="clear" w:color="auto" w:fill="FFFFFF"/>
        <w:spacing w:after="0" w:line="360" w:lineRule="auto"/>
        <w:ind w:firstLine="567"/>
        <w:contextualSpacing/>
        <w:jc w:val="both"/>
        <w:rPr>
          <w:rFonts w:ascii="Times New Roman" w:eastAsia="Times New Roman" w:hAnsi="Times New Roman" w:cs="Times New Roman"/>
          <w:sz w:val="24"/>
          <w:szCs w:val="24"/>
        </w:rPr>
      </w:pPr>
    </w:p>
    <w:p w14:paraId="3C3A97BB" w14:textId="7D83A910" w:rsidR="002C2198" w:rsidRDefault="0002784E" w:rsidP="00377E23">
      <w:pPr>
        <w:shd w:val="clear" w:color="auto" w:fill="FFFFFF"/>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Figura 3</w:t>
      </w:r>
      <w:r w:rsidR="002C2198" w:rsidRPr="008175F9">
        <w:rPr>
          <w:rFonts w:ascii="Times New Roman" w:eastAsia="Times New Roman" w:hAnsi="Times New Roman" w:cs="Times New Roman"/>
          <w:sz w:val="24"/>
          <w:szCs w:val="24"/>
        </w:rPr>
        <w:t xml:space="preserve"> - Percentual das despesas do estado da </w:t>
      </w:r>
      <w:r w:rsidR="005342DC">
        <w:rPr>
          <w:rFonts w:ascii="Times New Roman" w:eastAsia="Times New Roman" w:hAnsi="Times New Roman" w:cs="Times New Roman"/>
          <w:sz w:val="24"/>
          <w:szCs w:val="24"/>
        </w:rPr>
        <w:t>Paraíba</w:t>
      </w:r>
      <w:r w:rsidR="002C2198" w:rsidRPr="008175F9">
        <w:rPr>
          <w:rFonts w:ascii="Times New Roman" w:eastAsia="Times New Roman" w:hAnsi="Times New Roman" w:cs="Times New Roman"/>
          <w:sz w:val="24"/>
          <w:szCs w:val="24"/>
        </w:rPr>
        <w:t xml:space="preserve"> por grande setor da economia</w:t>
      </w:r>
      <w:r w:rsidR="002C2198" w:rsidRPr="008175F9">
        <w:rPr>
          <w:rFonts w:ascii="Times New Roman" w:hAnsi="Times New Roman" w:cs="Times New Roman"/>
          <w:sz w:val="24"/>
          <w:szCs w:val="24"/>
        </w:rPr>
        <w:t xml:space="preserve"> a </w:t>
      </w:r>
    </w:p>
    <w:p w14:paraId="2EDBC317" w14:textId="77777777" w:rsidR="002C2198" w:rsidRPr="008175F9" w:rsidRDefault="002C2198" w:rsidP="00377E23">
      <w:pPr>
        <w:shd w:val="clear" w:color="auto" w:fill="FFFFFF"/>
        <w:spacing w:after="0" w:line="240" w:lineRule="auto"/>
        <w:ind w:firstLine="708"/>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8175F9">
        <w:rPr>
          <w:rFonts w:ascii="Times New Roman" w:hAnsi="Times New Roman" w:cs="Times New Roman"/>
          <w:sz w:val="24"/>
          <w:szCs w:val="24"/>
        </w:rPr>
        <w:t xml:space="preserve">preços constantes de 2016 (em R$ milhões), </w:t>
      </w:r>
      <w:r w:rsidRPr="008175F9">
        <w:rPr>
          <w:rFonts w:ascii="Times New Roman" w:eastAsia="Times New Roman" w:hAnsi="Times New Roman" w:cs="Times New Roman"/>
          <w:sz w:val="24"/>
          <w:szCs w:val="24"/>
        </w:rPr>
        <w:t>2016 – 2022.</w:t>
      </w:r>
    </w:p>
    <w:p w14:paraId="3FD8213F" w14:textId="77777777" w:rsidR="002C2198" w:rsidRPr="002F68A0" w:rsidRDefault="002C2198" w:rsidP="00377E23">
      <w:pPr>
        <w:pBdr>
          <w:top w:val="nil"/>
          <w:left w:val="nil"/>
          <w:bottom w:val="nil"/>
          <w:right w:val="nil"/>
          <w:between w:val="nil"/>
        </w:pBdr>
        <w:shd w:val="clear" w:color="auto" w:fill="FFFFFF"/>
        <w:spacing w:after="0" w:line="360" w:lineRule="auto"/>
        <w:contextualSpacing/>
        <w:jc w:val="both"/>
        <w:rPr>
          <w:rFonts w:ascii="Times New Roman" w:eastAsia="Times New Roman" w:hAnsi="Times New Roman" w:cs="Times New Roman"/>
          <w:sz w:val="24"/>
          <w:szCs w:val="24"/>
        </w:rPr>
      </w:pPr>
      <w:r>
        <w:rPr>
          <w:noProof/>
          <w:lang w:eastAsia="pt-BR"/>
        </w:rPr>
        <w:drawing>
          <wp:inline distT="0" distB="0" distL="0" distR="0" wp14:anchorId="6B42719B" wp14:editId="7A03A569">
            <wp:extent cx="5612130" cy="3493770"/>
            <wp:effectExtent l="0" t="0" r="7620" b="1143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804A32" w14:textId="0D8C6DA3" w:rsidR="002C2198" w:rsidRPr="002F68A0" w:rsidRDefault="002C2198" w:rsidP="00377E23">
      <w:pPr>
        <w:spacing w:after="0" w:line="36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Fonte: Portal da Transparência</w:t>
      </w:r>
      <w:r>
        <w:rPr>
          <w:rFonts w:ascii="Times New Roman" w:eastAsia="Times New Roman" w:hAnsi="Times New Roman" w:cs="Times New Roman"/>
          <w:sz w:val="24"/>
          <w:szCs w:val="24"/>
        </w:rPr>
        <w:t xml:space="preserve"> da </w:t>
      </w:r>
      <w:r w:rsidR="005342DC">
        <w:rPr>
          <w:rFonts w:ascii="Times New Roman" w:eastAsia="Times New Roman" w:hAnsi="Times New Roman" w:cs="Times New Roman"/>
          <w:sz w:val="24"/>
          <w:szCs w:val="24"/>
        </w:rPr>
        <w:t>Paraíba</w:t>
      </w:r>
      <w:r w:rsidRPr="002F68A0">
        <w:rPr>
          <w:rFonts w:ascii="Times New Roman" w:eastAsia="Times New Roman" w:hAnsi="Times New Roman" w:cs="Times New Roman"/>
          <w:sz w:val="24"/>
          <w:szCs w:val="24"/>
        </w:rPr>
        <w:t>, 2025</w:t>
      </w:r>
    </w:p>
    <w:p w14:paraId="0C7BCA4C" w14:textId="77777777" w:rsidR="009A0111" w:rsidRDefault="009A0111" w:rsidP="00377E23">
      <w:pPr>
        <w:shd w:val="clear" w:color="auto" w:fill="FFFFFF"/>
        <w:spacing w:after="0" w:line="360" w:lineRule="auto"/>
        <w:ind w:firstLine="720"/>
        <w:contextualSpacing/>
        <w:jc w:val="both"/>
        <w:rPr>
          <w:rFonts w:ascii="Times New Roman" w:eastAsia="Times New Roman" w:hAnsi="Times New Roman" w:cs="Times New Roman"/>
          <w:sz w:val="24"/>
          <w:szCs w:val="24"/>
        </w:rPr>
      </w:pPr>
    </w:p>
    <w:p w14:paraId="755AD64D" w14:textId="77777777" w:rsidR="002C2198" w:rsidRPr="001A71F7" w:rsidRDefault="002C2198" w:rsidP="00377E23">
      <w:pPr>
        <w:shd w:val="clear" w:color="auto" w:fill="FFFFFF"/>
        <w:spacing w:after="0" w:line="360" w:lineRule="auto"/>
        <w:ind w:firstLine="720"/>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 xml:space="preserve">A evolução dos gastos públicos no setor agrícola paraibano revela a política fortemente agrária, com prioridade dos gastos na manutenção dos órgãos de fomento, sobretudo nas despesas de custeio de pessoal. Tais despesas, como forma de manutenção da máquina administrativa da agricultura, predominaram na maior parte do período, atingindo </w:t>
      </w:r>
      <w:r w:rsidRPr="001A71F7">
        <w:rPr>
          <w:rFonts w:ascii="Times New Roman" w:eastAsia="Times New Roman" w:hAnsi="Times New Roman" w:cs="Times New Roman"/>
          <w:sz w:val="24"/>
          <w:szCs w:val="24"/>
        </w:rPr>
        <w:t>picos em 2021 e 2022 (180 milhões), demonstrando ênfase na operação cotidiana do setor, especialmente durante a crises.</w:t>
      </w:r>
    </w:p>
    <w:p w14:paraId="03028B67" w14:textId="4CB850CE" w:rsidR="001A71F7" w:rsidRPr="001A71F7" w:rsidRDefault="001A71F7" w:rsidP="00377E23">
      <w:pPr>
        <w:shd w:val="clear" w:color="auto" w:fill="FFFFFF"/>
        <w:spacing w:after="0" w:line="360" w:lineRule="auto"/>
        <w:ind w:firstLine="720"/>
        <w:contextualSpacing/>
        <w:jc w:val="both"/>
        <w:rPr>
          <w:rFonts w:ascii="Times New Roman" w:hAnsi="Times New Roman" w:cs="Times New Roman"/>
          <w:sz w:val="24"/>
          <w:szCs w:val="24"/>
        </w:rPr>
      </w:pPr>
      <w:r w:rsidRPr="001A71F7">
        <w:rPr>
          <w:rFonts w:ascii="Times New Roman" w:hAnsi="Times New Roman" w:cs="Times New Roman"/>
          <w:sz w:val="24"/>
          <w:szCs w:val="24"/>
        </w:rPr>
        <w:t>Os investimentos em infraestrutura e projetos de longo prazo têm apresentado participação reduzida, situando-se entre</w:t>
      </w:r>
      <w:r>
        <w:rPr>
          <w:rFonts w:ascii="Times New Roman" w:hAnsi="Times New Roman" w:cs="Times New Roman"/>
          <w:sz w:val="24"/>
          <w:szCs w:val="24"/>
        </w:rPr>
        <w:t xml:space="preserve"> R$</w:t>
      </w:r>
      <w:r w:rsidRPr="001A71F7">
        <w:rPr>
          <w:rFonts w:ascii="Times New Roman" w:hAnsi="Times New Roman" w:cs="Times New Roman"/>
          <w:sz w:val="24"/>
          <w:szCs w:val="24"/>
        </w:rPr>
        <w:t xml:space="preserve"> 20 e </w:t>
      </w:r>
      <w:r>
        <w:rPr>
          <w:rFonts w:ascii="Times New Roman" w:hAnsi="Times New Roman" w:cs="Times New Roman"/>
          <w:sz w:val="24"/>
          <w:szCs w:val="24"/>
        </w:rPr>
        <w:t xml:space="preserve">R$ </w:t>
      </w:r>
      <w:r w:rsidRPr="001A71F7">
        <w:rPr>
          <w:rFonts w:ascii="Times New Roman" w:hAnsi="Times New Roman" w:cs="Times New Roman"/>
          <w:sz w:val="24"/>
          <w:szCs w:val="24"/>
        </w:rPr>
        <w:t>40 milhões de reais. Esse nível de aporte evidencia uma expansão limitada da estrutura agrícola no estado. A análise indica a adoção de uma política agrícola predominantemente reativa, com ênfase no custeio em detrimento de investimentos estruturantes. Tal abordagem pode comprometer os ganhos de produtividade e a sustentabilidade no campo paraibano, além de revelar a ausência de um padrão consistente de planejamento estratégico para o setor.</w:t>
      </w:r>
    </w:p>
    <w:p w14:paraId="75E676CC" w14:textId="1D2D417F" w:rsidR="002C2198" w:rsidRDefault="002C2198" w:rsidP="00377E23">
      <w:pPr>
        <w:shd w:val="clear" w:color="auto" w:fill="FFFFFF"/>
        <w:spacing w:after="0" w:line="360" w:lineRule="auto"/>
        <w:ind w:firstLine="720"/>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Outras despesas correntes (manutenção, serviços e insumos) apresentam comportamento imprevisível, com ápice em 2022 (</w:t>
      </w:r>
      <w:r>
        <w:rPr>
          <w:rFonts w:ascii="Times New Roman" w:eastAsia="Times New Roman" w:hAnsi="Times New Roman" w:cs="Times New Roman"/>
          <w:sz w:val="24"/>
          <w:szCs w:val="24"/>
        </w:rPr>
        <w:t xml:space="preserve">R$ </w:t>
      </w:r>
      <w:r w:rsidRPr="002F68A0">
        <w:rPr>
          <w:rFonts w:ascii="Times New Roman" w:eastAsia="Times New Roman" w:hAnsi="Times New Roman" w:cs="Times New Roman"/>
          <w:sz w:val="24"/>
          <w:szCs w:val="24"/>
        </w:rPr>
        <w:t xml:space="preserve">40 milhões) seguido por forte queda em </w:t>
      </w:r>
      <w:r w:rsidRPr="002F68A0">
        <w:rPr>
          <w:rFonts w:ascii="Times New Roman" w:eastAsia="Times New Roman" w:hAnsi="Times New Roman" w:cs="Times New Roman"/>
          <w:sz w:val="24"/>
          <w:szCs w:val="24"/>
        </w:rPr>
        <w:lastRenderedPageBreak/>
        <w:t xml:space="preserve">2020 (para cerca de </w:t>
      </w:r>
      <w:r>
        <w:rPr>
          <w:rFonts w:ascii="Times New Roman" w:eastAsia="Times New Roman" w:hAnsi="Times New Roman" w:cs="Times New Roman"/>
          <w:sz w:val="24"/>
          <w:szCs w:val="24"/>
        </w:rPr>
        <w:t xml:space="preserve">R$ </w:t>
      </w:r>
      <w:r w:rsidRPr="002F68A0">
        <w:rPr>
          <w:rFonts w:ascii="Times New Roman" w:eastAsia="Times New Roman" w:hAnsi="Times New Roman" w:cs="Times New Roman"/>
          <w:sz w:val="24"/>
          <w:szCs w:val="24"/>
        </w:rPr>
        <w:t>30 milhões), indicando descontinuidade em p</w:t>
      </w:r>
      <w:r w:rsidR="00884F7A">
        <w:rPr>
          <w:rFonts w:ascii="Times New Roman" w:eastAsia="Times New Roman" w:hAnsi="Times New Roman" w:cs="Times New Roman"/>
          <w:sz w:val="24"/>
          <w:szCs w:val="24"/>
        </w:rPr>
        <w:t>olíticas estrut</w:t>
      </w:r>
      <w:r w:rsidR="0002784E">
        <w:rPr>
          <w:rFonts w:ascii="Times New Roman" w:eastAsia="Times New Roman" w:hAnsi="Times New Roman" w:cs="Times New Roman"/>
          <w:sz w:val="24"/>
          <w:szCs w:val="24"/>
        </w:rPr>
        <w:t>urantes (figura 4</w:t>
      </w:r>
      <w:r w:rsidRPr="002F68A0">
        <w:rPr>
          <w:rFonts w:ascii="Times New Roman" w:eastAsia="Times New Roman" w:hAnsi="Times New Roman" w:cs="Times New Roman"/>
          <w:sz w:val="24"/>
          <w:szCs w:val="24"/>
        </w:rPr>
        <w:t>)</w:t>
      </w:r>
    </w:p>
    <w:p w14:paraId="256873FC" w14:textId="77777777" w:rsidR="002C2198" w:rsidRPr="002F68A0" w:rsidRDefault="002C2198" w:rsidP="00377E23">
      <w:pPr>
        <w:shd w:val="clear" w:color="auto" w:fill="FFFFFF"/>
        <w:spacing w:after="0" w:line="360" w:lineRule="auto"/>
        <w:ind w:firstLine="720"/>
        <w:contextualSpacing/>
        <w:jc w:val="both"/>
        <w:rPr>
          <w:rFonts w:ascii="Times New Roman" w:eastAsia="Times New Roman" w:hAnsi="Times New Roman" w:cs="Times New Roman"/>
          <w:sz w:val="24"/>
          <w:szCs w:val="24"/>
        </w:rPr>
      </w:pPr>
    </w:p>
    <w:p w14:paraId="33365866" w14:textId="4AD271CF" w:rsidR="002C2198" w:rsidRDefault="0002784E" w:rsidP="00377E23">
      <w:pPr>
        <w:shd w:val="clear" w:color="auto" w:fill="FFFFFF"/>
        <w:spacing w:after="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Figura 4</w:t>
      </w:r>
      <w:r w:rsidR="002C2198" w:rsidRPr="00541D57">
        <w:rPr>
          <w:rFonts w:ascii="Times New Roman" w:eastAsia="Times New Roman" w:hAnsi="Times New Roman" w:cs="Times New Roman"/>
          <w:sz w:val="24"/>
          <w:szCs w:val="24"/>
        </w:rPr>
        <w:t xml:space="preserve">- Distribuição das despesas destinadas a agricultura pelo governo da </w:t>
      </w:r>
      <w:r w:rsidR="005342DC">
        <w:rPr>
          <w:rFonts w:ascii="Times New Roman" w:eastAsia="Times New Roman" w:hAnsi="Times New Roman" w:cs="Times New Roman"/>
          <w:sz w:val="24"/>
          <w:szCs w:val="24"/>
        </w:rPr>
        <w:t>Paraíba</w:t>
      </w:r>
      <w:r w:rsidR="002C2198" w:rsidRPr="00541D57">
        <w:rPr>
          <w:rFonts w:ascii="Times New Roman" w:eastAsia="Times New Roman" w:hAnsi="Times New Roman" w:cs="Times New Roman"/>
          <w:sz w:val="24"/>
          <w:szCs w:val="24"/>
        </w:rPr>
        <w:t xml:space="preserve"> </w:t>
      </w:r>
      <w:r w:rsidR="002C2198" w:rsidRPr="00541D57">
        <w:rPr>
          <w:rFonts w:ascii="Times New Roman" w:hAnsi="Times New Roman" w:cs="Times New Roman"/>
          <w:sz w:val="24"/>
          <w:szCs w:val="24"/>
        </w:rPr>
        <w:t xml:space="preserve">a </w:t>
      </w:r>
    </w:p>
    <w:p w14:paraId="46EA1054" w14:textId="3C20B6AB" w:rsidR="002C2198" w:rsidRPr="00541D57" w:rsidRDefault="00884F7A" w:rsidP="00377E23">
      <w:pPr>
        <w:shd w:val="clear" w:color="auto" w:fill="FFFFFF"/>
        <w:spacing w:after="0" w:line="240" w:lineRule="auto"/>
        <w:ind w:firstLine="708"/>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2C2198">
        <w:rPr>
          <w:rFonts w:ascii="Times New Roman" w:hAnsi="Times New Roman" w:cs="Times New Roman"/>
          <w:sz w:val="24"/>
          <w:szCs w:val="24"/>
        </w:rPr>
        <w:t>preços constantes de 2016</w:t>
      </w:r>
      <w:r w:rsidR="002C2198" w:rsidRPr="00541D57">
        <w:rPr>
          <w:rFonts w:ascii="Times New Roman" w:hAnsi="Times New Roman" w:cs="Times New Roman"/>
          <w:sz w:val="24"/>
          <w:szCs w:val="24"/>
        </w:rPr>
        <w:t xml:space="preserve"> (em R$ milhões) </w:t>
      </w:r>
      <w:r w:rsidR="002C2198" w:rsidRPr="00541D57">
        <w:rPr>
          <w:rFonts w:ascii="Times New Roman" w:eastAsia="Times New Roman" w:hAnsi="Times New Roman" w:cs="Times New Roman"/>
          <w:sz w:val="24"/>
          <w:szCs w:val="24"/>
        </w:rPr>
        <w:t>segundo a destinação 2016 – 2022.</w:t>
      </w:r>
    </w:p>
    <w:p w14:paraId="26916918" w14:textId="77777777" w:rsidR="002C2198" w:rsidRPr="002F68A0" w:rsidRDefault="002C2198" w:rsidP="00377E23">
      <w:pPr>
        <w:spacing w:after="0" w:line="360" w:lineRule="auto"/>
        <w:contextualSpacing/>
        <w:jc w:val="both"/>
        <w:rPr>
          <w:rFonts w:ascii="Times New Roman" w:eastAsia="Times New Roman" w:hAnsi="Times New Roman" w:cs="Times New Roman"/>
          <w:sz w:val="24"/>
          <w:szCs w:val="24"/>
        </w:rPr>
      </w:pPr>
      <w:r w:rsidRPr="002F68A0">
        <w:rPr>
          <w:rFonts w:ascii="Times New Roman" w:hAnsi="Times New Roman" w:cs="Times New Roman"/>
          <w:noProof/>
          <w:sz w:val="24"/>
          <w:szCs w:val="24"/>
          <w:lang w:eastAsia="pt-BR"/>
        </w:rPr>
        <w:drawing>
          <wp:inline distT="0" distB="0" distL="0" distR="0" wp14:anchorId="6B46A0B7" wp14:editId="6ED60392">
            <wp:extent cx="5400040" cy="3366013"/>
            <wp:effectExtent l="0" t="0" r="10160" b="63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797D7C" w14:textId="226910AB" w:rsidR="002C2198" w:rsidRPr="002F68A0" w:rsidRDefault="002C2198" w:rsidP="00377E23">
      <w:pPr>
        <w:spacing w:after="0" w:line="36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Fonte: Portal da Transparência</w:t>
      </w:r>
      <w:r>
        <w:rPr>
          <w:rFonts w:ascii="Times New Roman" w:eastAsia="Times New Roman" w:hAnsi="Times New Roman" w:cs="Times New Roman"/>
          <w:sz w:val="24"/>
          <w:szCs w:val="24"/>
        </w:rPr>
        <w:t xml:space="preserve"> da </w:t>
      </w:r>
      <w:r w:rsidR="005342DC">
        <w:rPr>
          <w:rFonts w:ascii="Times New Roman" w:eastAsia="Times New Roman" w:hAnsi="Times New Roman" w:cs="Times New Roman"/>
          <w:sz w:val="24"/>
          <w:szCs w:val="24"/>
        </w:rPr>
        <w:t>Paraíba</w:t>
      </w:r>
      <w:r w:rsidRPr="002F68A0">
        <w:rPr>
          <w:rFonts w:ascii="Times New Roman" w:eastAsia="Times New Roman" w:hAnsi="Times New Roman" w:cs="Times New Roman"/>
          <w:sz w:val="24"/>
          <w:szCs w:val="24"/>
        </w:rPr>
        <w:t>, 2025</w:t>
      </w:r>
    </w:p>
    <w:p w14:paraId="56CFC7A0" w14:textId="77777777" w:rsidR="002C2198" w:rsidRPr="002F68A0" w:rsidRDefault="002C2198" w:rsidP="00377E23">
      <w:pPr>
        <w:pStyle w:val="ds-markdown-paragraph"/>
        <w:shd w:val="clear" w:color="auto" w:fill="FFFFFF"/>
        <w:spacing w:before="0" w:beforeAutospacing="0" w:after="0" w:afterAutospacing="0" w:line="360" w:lineRule="auto"/>
        <w:ind w:firstLine="720"/>
        <w:contextualSpacing/>
        <w:jc w:val="both"/>
      </w:pPr>
    </w:p>
    <w:p w14:paraId="7C2A2D32" w14:textId="698F03FE" w:rsidR="002C2198" w:rsidRPr="002F68A0" w:rsidRDefault="002C2198" w:rsidP="00377E23">
      <w:pPr>
        <w:spacing w:after="0" w:line="360" w:lineRule="auto"/>
        <w:ind w:firstLine="720"/>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 xml:space="preserve">O padrão observado na figura </w:t>
      </w:r>
      <w:r w:rsidR="0002784E">
        <w:rPr>
          <w:rFonts w:ascii="Times New Roman" w:eastAsia="Times New Roman" w:hAnsi="Times New Roman" w:cs="Times New Roman"/>
          <w:sz w:val="24"/>
          <w:szCs w:val="24"/>
        </w:rPr>
        <w:t>5</w:t>
      </w:r>
      <w:r w:rsidRPr="002F68A0">
        <w:rPr>
          <w:rFonts w:ascii="Times New Roman" w:eastAsia="Times New Roman" w:hAnsi="Times New Roman" w:cs="Times New Roman"/>
          <w:sz w:val="24"/>
          <w:szCs w:val="24"/>
        </w:rPr>
        <w:t xml:space="preserve"> mostra que o governo estadual priorizou a manutenção dos serviços existentes em vez de investir em sua modernização e expansão. Apesar da leve recuperação dos investimentos no final do período, os valores permaneceram abaixo do pico de 2018, sugerindo a necessidade de maior equilíbrio entre custeio e investimentos estratégicos para impulsionar o desenvolvimento do setor a longo prazo. </w:t>
      </w:r>
    </w:p>
    <w:p w14:paraId="7914E2D4" w14:textId="30335949" w:rsidR="002C2198" w:rsidRPr="002F68A0" w:rsidRDefault="002C2198" w:rsidP="00377E23">
      <w:pPr>
        <w:spacing w:after="0" w:line="360" w:lineRule="auto"/>
        <w:ind w:firstLine="720"/>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 xml:space="preserve">Análise das despesas no setor de serviços da </w:t>
      </w:r>
      <w:r w:rsidR="005342DC">
        <w:rPr>
          <w:rFonts w:ascii="Times New Roman" w:eastAsia="Times New Roman" w:hAnsi="Times New Roman" w:cs="Times New Roman"/>
          <w:sz w:val="24"/>
          <w:szCs w:val="24"/>
        </w:rPr>
        <w:t>Paraíba</w:t>
      </w:r>
      <w:r w:rsidR="00884F7A">
        <w:rPr>
          <w:rFonts w:ascii="Times New Roman" w:eastAsia="Times New Roman" w:hAnsi="Times New Roman" w:cs="Times New Roman"/>
          <w:sz w:val="24"/>
          <w:szCs w:val="24"/>
        </w:rPr>
        <w:t xml:space="preserve"> entre 2016 e 2022 (figura 6</w:t>
      </w:r>
      <w:r w:rsidRPr="002F68A0">
        <w:rPr>
          <w:rFonts w:ascii="Times New Roman" w:eastAsia="Times New Roman" w:hAnsi="Times New Roman" w:cs="Times New Roman"/>
          <w:sz w:val="24"/>
          <w:szCs w:val="24"/>
        </w:rPr>
        <w:t>) revela uma predominância de gastos com pessoal entre os órgãos de fomento (manutenção e operações) sobre investimentos. Enquanto as despesas correntes apresentaram picos de 2017 a 2020, esse último provavelmente devido à pandemia. Os investimentos tiveram maior expressão apenas em 2019, seguidos por forte queda em 2020 e recuperação modesta em 2021/2022.</w:t>
      </w:r>
    </w:p>
    <w:p w14:paraId="314ECF09" w14:textId="237A757B" w:rsidR="002C2198" w:rsidRDefault="00E60DF7" w:rsidP="00377E23">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Analisando </w:t>
      </w:r>
      <w:r w:rsidRPr="00B27808">
        <w:rPr>
          <w:rFonts w:ascii="Times New Roman" w:hAnsi="Times New Roman" w:cs="Times New Roman"/>
          <w:sz w:val="24"/>
          <w:szCs w:val="24"/>
        </w:rPr>
        <w:t>percentua</w:t>
      </w:r>
      <w:r>
        <w:rPr>
          <w:rFonts w:ascii="Times New Roman" w:hAnsi="Times New Roman" w:cs="Times New Roman"/>
          <w:sz w:val="24"/>
          <w:szCs w:val="24"/>
        </w:rPr>
        <w:t>lmente a evolução até</w:t>
      </w:r>
      <w:r w:rsidR="00F51A79" w:rsidRPr="00B27808">
        <w:rPr>
          <w:rFonts w:ascii="Times New Roman" w:hAnsi="Times New Roman" w:cs="Times New Roman"/>
          <w:sz w:val="24"/>
          <w:szCs w:val="24"/>
        </w:rPr>
        <w:t xml:space="preserve"> último ano do gráfico (2022) é </w:t>
      </w:r>
      <w:r>
        <w:rPr>
          <w:rFonts w:ascii="Times New Roman" w:hAnsi="Times New Roman" w:cs="Times New Roman"/>
          <w:sz w:val="24"/>
          <w:szCs w:val="24"/>
        </w:rPr>
        <w:t>possível observar que:</w:t>
      </w:r>
      <w:r w:rsidR="00F51A79" w:rsidRPr="00B27808">
        <w:rPr>
          <w:rFonts w:ascii="Times New Roman" w:hAnsi="Times New Roman" w:cs="Times New Roman"/>
          <w:sz w:val="24"/>
          <w:szCs w:val="24"/>
        </w:rPr>
        <w:t> </w:t>
      </w:r>
      <w:r>
        <w:rPr>
          <w:rFonts w:ascii="Times New Roman" w:hAnsi="Times New Roman" w:cs="Times New Roman"/>
          <w:sz w:val="24"/>
          <w:szCs w:val="24"/>
        </w:rPr>
        <w:t xml:space="preserve"> </w:t>
      </w:r>
      <w:r w:rsidR="00F51A79" w:rsidRPr="00B27808">
        <w:rPr>
          <w:rFonts w:ascii="Times New Roman" w:hAnsi="Times New Roman" w:cs="Times New Roman"/>
          <w:sz w:val="24"/>
          <w:szCs w:val="24"/>
        </w:rPr>
        <w:t xml:space="preserve">Pessoal e Encargos Sociais consome até 55% do total, Outras Despesas </w:t>
      </w:r>
      <w:r w:rsidR="00F51A79" w:rsidRPr="00B27808">
        <w:rPr>
          <w:rFonts w:ascii="Times New Roman" w:hAnsi="Times New Roman" w:cs="Times New Roman"/>
          <w:sz w:val="24"/>
          <w:szCs w:val="24"/>
        </w:rPr>
        <w:lastRenderedPageBreak/>
        <w:t>Correntes responde por aproximadamente 40% a 45%, enquanto </w:t>
      </w:r>
      <w:r w:rsidR="00B27808" w:rsidRPr="00B27808">
        <w:rPr>
          <w:rFonts w:ascii="Times New Roman" w:hAnsi="Times New Roman" w:cs="Times New Roman"/>
          <w:sz w:val="24"/>
          <w:szCs w:val="24"/>
        </w:rPr>
        <w:t>I</w:t>
      </w:r>
      <w:r w:rsidR="00F51A79" w:rsidRPr="00B27808">
        <w:rPr>
          <w:rFonts w:ascii="Times New Roman" w:hAnsi="Times New Roman" w:cs="Times New Roman"/>
          <w:sz w:val="24"/>
          <w:szCs w:val="24"/>
        </w:rPr>
        <w:t>nvestimento fica com uma fatia mínima, entre 5% e 10% do orçamento. Essa distribuição caracteriza um perfil de gasto tipicamente vinculado ao custeio da administração, com espaço limitad</w:t>
      </w:r>
      <w:r w:rsidR="00B27808" w:rsidRPr="00B27808">
        <w:rPr>
          <w:rFonts w:ascii="Times New Roman" w:hAnsi="Times New Roman" w:cs="Times New Roman"/>
          <w:sz w:val="24"/>
          <w:szCs w:val="24"/>
        </w:rPr>
        <w:t>o p</w:t>
      </w:r>
      <w:r>
        <w:rPr>
          <w:rFonts w:ascii="Times New Roman" w:hAnsi="Times New Roman" w:cs="Times New Roman"/>
          <w:sz w:val="24"/>
          <w:szCs w:val="24"/>
        </w:rPr>
        <w:t>ara investimentos.</w:t>
      </w:r>
    </w:p>
    <w:p w14:paraId="63E5C1F0" w14:textId="77777777" w:rsidR="00B27808" w:rsidRPr="00B27808" w:rsidRDefault="00B27808" w:rsidP="00377E23">
      <w:pPr>
        <w:spacing w:after="0" w:line="360" w:lineRule="auto"/>
        <w:ind w:firstLine="708"/>
        <w:contextualSpacing/>
        <w:jc w:val="both"/>
        <w:rPr>
          <w:rFonts w:ascii="Times New Roman" w:hAnsi="Times New Roman" w:cs="Times New Roman"/>
          <w:sz w:val="24"/>
          <w:szCs w:val="24"/>
        </w:rPr>
      </w:pPr>
    </w:p>
    <w:p w14:paraId="37695507" w14:textId="472D9B6E" w:rsidR="002C2198" w:rsidRDefault="002C2198" w:rsidP="00377E23">
      <w:pPr>
        <w:shd w:val="clear" w:color="auto" w:fill="FFFFFF"/>
        <w:spacing w:after="0" w:line="240" w:lineRule="auto"/>
        <w:contextualSpacing/>
        <w:jc w:val="both"/>
        <w:rPr>
          <w:rFonts w:ascii="Times New Roman" w:eastAsia="Times New Roman" w:hAnsi="Times New Roman" w:cs="Times New Roman"/>
          <w:sz w:val="24"/>
          <w:szCs w:val="24"/>
        </w:rPr>
      </w:pPr>
      <w:r w:rsidRPr="00541D57">
        <w:rPr>
          <w:rFonts w:ascii="Times New Roman" w:eastAsia="Times New Roman" w:hAnsi="Times New Roman" w:cs="Times New Roman"/>
          <w:sz w:val="24"/>
          <w:szCs w:val="24"/>
        </w:rPr>
        <w:t>F</w:t>
      </w:r>
      <w:r w:rsidR="00884F7A">
        <w:rPr>
          <w:rFonts w:ascii="Times New Roman" w:eastAsia="Times New Roman" w:hAnsi="Times New Roman" w:cs="Times New Roman"/>
          <w:sz w:val="24"/>
          <w:szCs w:val="24"/>
        </w:rPr>
        <w:t>ig</w:t>
      </w:r>
      <w:r w:rsidR="0002784E">
        <w:rPr>
          <w:rFonts w:ascii="Times New Roman" w:eastAsia="Times New Roman" w:hAnsi="Times New Roman" w:cs="Times New Roman"/>
          <w:sz w:val="24"/>
          <w:szCs w:val="24"/>
        </w:rPr>
        <w:t>ura 5</w:t>
      </w:r>
      <w:r w:rsidRPr="00541D57">
        <w:rPr>
          <w:rFonts w:ascii="Times New Roman" w:eastAsia="Times New Roman" w:hAnsi="Times New Roman" w:cs="Times New Roman"/>
          <w:sz w:val="24"/>
          <w:szCs w:val="24"/>
        </w:rPr>
        <w:t xml:space="preserve">- Distribuição das despesas destinadas ao setor de serviços pelo governo da </w:t>
      </w:r>
      <w:r w:rsidR="005342DC">
        <w:rPr>
          <w:rFonts w:ascii="Times New Roman" w:eastAsia="Times New Roman" w:hAnsi="Times New Roman" w:cs="Times New Roman"/>
          <w:sz w:val="24"/>
          <w:szCs w:val="24"/>
        </w:rPr>
        <w:t>Paraíba</w:t>
      </w:r>
      <w:r w:rsidRPr="00541D57">
        <w:rPr>
          <w:rFonts w:ascii="Times New Roman" w:eastAsia="Times New Roman" w:hAnsi="Times New Roman" w:cs="Times New Roman"/>
          <w:sz w:val="24"/>
          <w:szCs w:val="24"/>
        </w:rPr>
        <w:t xml:space="preserve">, </w:t>
      </w:r>
    </w:p>
    <w:p w14:paraId="5EEFAF54" w14:textId="666E96FD" w:rsidR="002C2198" w:rsidRPr="00541D57" w:rsidRDefault="00884F7A" w:rsidP="00377E23">
      <w:pPr>
        <w:shd w:val="clear" w:color="auto" w:fill="FFFFFF"/>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C2198">
        <w:rPr>
          <w:rFonts w:ascii="Times New Roman" w:hAnsi="Times New Roman" w:cs="Times New Roman"/>
          <w:sz w:val="24"/>
          <w:szCs w:val="24"/>
        </w:rPr>
        <w:t>a preços constantes de 2016</w:t>
      </w:r>
      <w:r w:rsidR="002C2198" w:rsidRPr="00541D57">
        <w:rPr>
          <w:rFonts w:ascii="Times New Roman" w:hAnsi="Times New Roman" w:cs="Times New Roman"/>
          <w:sz w:val="24"/>
          <w:szCs w:val="24"/>
        </w:rPr>
        <w:t xml:space="preserve"> (em R$ milhões) </w:t>
      </w:r>
      <w:r w:rsidR="002C2198" w:rsidRPr="00541D57">
        <w:rPr>
          <w:rFonts w:ascii="Times New Roman" w:eastAsia="Times New Roman" w:hAnsi="Times New Roman" w:cs="Times New Roman"/>
          <w:sz w:val="24"/>
          <w:szCs w:val="24"/>
        </w:rPr>
        <w:t>segundo a destinação 2016 – 2022.</w:t>
      </w:r>
    </w:p>
    <w:p w14:paraId="4C1EABEA" w14:textId="2C4FD8D7" w:rsidR="002C2198" w:rsidRPr="002F68A0" w:rsidRDefault="002C2198" w:rsidP="00377E23">
      <w:pPr>
        <w:shd w:val="clear" w:color="auto" w:fill="FFFFFF"/>
        <w:spacing w:after="0" w:line="240" w:lineRule="auto"/>
        <w:contextualSpacing/>
        <w:jc w:val="both"/>
        <w:rPr>
          <w:rFonts w:ascii="Times New Roman" w:eastAsia="Times New Roman" w:hAnsi="Times New Roman" w:cs="Times New Roman"/>
          <w:sz w:val="24"/>
          <w:szCs w:val="24"/>
        </w:rPr>
      </w:pPr>
      <w:r>
        <w:rPr>
          <w:noProof/>
          <w:lang w:eastAsia="pt-BR"/>
        </w:rPr>
        <w:drawing>
          <wp:inline distT="0" distB="0" distL="0" distR="0" wp14:anchorId="379FE541" wp14:editId="110458E1">
            <wp:extent cx="5612130" cy="3493770"/>
            <wp:effectExtent l="0" t="0" r="7620" b="1143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B61F6D" w14:textId="32F6D0B1" w:rsidR="002C2198" w:rsidRPr="002F68A0" w:rsidRDefault="002C2198" w:rsidP="00377E23">
      <w:pPr>
        <w:spacing w:after="0" w:line="36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Fonte: Portal da Transparência</w:t>
      </w:r>
      <w:r>
        <w:rPr>
          <w:rFonts w:ascii="Times New Roman" w:eastAsia="Times New Roman" w:hAnsi="Times New Roman" w:cs="Times New Roman"/>
          <w:sz w:val="24"/>
          <w:szCs w:val="24"/>
        </w:rPr>
        <w:t xml:space="preserve"> da </w:t>
      </w:r>
      <w:r w:rsidR="005342DC">
        <w:rPr>
          <w:rFonts w:ascii="Times New Roman" w:eastAsia="Times New Roman" w:hAnsi="Times New Roman" w:cs="Times New Roman"/>
          <w:sz w:val="24"/>
          <w:szCs w:val="24"/>
        </w:rPr>
        <w:t>Paraíba</w:t>
      </w:r>
      <w:r w:rsidRPr="002F68A0">
        <w:rPr>
          <w:rFonts w:ascii="Times New Roman" w:eastAsia="Times New Roman" w:hAnsi="Times New Roman" w:cs="Times New Roman"/>
          <w:sz w:val="24"/>
          <w:szCs w:val="24"/>
        </w:rPr>
        <w:t>, 2025</w:t>
      </w:r>
    </w:p>
    <w:p w14:paraId="18E07643" w14:textId="77777777" w:rsidR="002C2198" w:rsidRPr="002F68A0" w:rsidRDefault="002C2198" w:rsidP="00377E23">
      <w:pPr>
        <w:pStyle w:val="ds-markdown-paragraph"/>
        <w:shd w:val="clear" w:color="auto" w:fill="FFFFFF"/>
        <w:spacing w:before="0" w:beforeAutospacing="0" w:after="0" w:afterAutospacing="0" w:line="360" w:lineRule="auto"/>
        <w:ind w:firstLine="720"/>
        <w:contextualSpacing/>
        <w:jc w:val="both"/>
      </w:pPr>
    </w:p>
    <w:p w14:paraId="76259DC3" w14:textId="407742B1" w:rsidR="002C2198" w:rsidRPr="002F68A0" w:rsidRDefault="0002784E" w:rsidP="00377E23">
      <w:pPr>
        <w:shd w:val="clear" w:color="auto" w:fill="FFFFFF"/>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figura 6</w:t>
      </w:r>
      <w:r w:rsidR="002C2198" w:rsidRPr="002F68A0">
        <w:rPr>
          <w:rFonts w:ascii="Times New Roman" w:eastAsia="Times New Roman" w:hAnsi="Times New Roman" w:cs="Times New Roman"/>
          <w:sz w:val="24"/>
          <w:szCs w:val="24"/>
        </w:rPr>
        <w:t xml:space="preserve"> denota que as despesas do setor industrial da </w:t>
      </w:r>
      <w:r w:rsidR="005342DC">
        <w:rPr>
          <w:rFonts w:ascii="Times New Roman" w:eastAsia="Times New Roman" w:hAnsi="Times New Roman" w:cs="Times New Roman"/>
          <w:sz w:val="24"/>
          <w:szCs w:val="24"/>
        </w:rPr>
        <w:t>Paraíba</w:t>
      </w:r>
      <w:r w:rsidR="002C2198" w:rsidRPr="002F68A0">
        <w:rPr>
          <w:rFonts w:ascii="Times New Roman" w:eastAsia="Times New Roman" w:hAnsi="Times New Roman" w:cs="Times New Roman"/>
          <w:sz w:val="24"/>
          <w:szCs w:val="24"/>
        </w:rPr>
        <w:t xml:space="preserve"> entre 2016 e 2022 seguiram um padrão de investimento volátil, com um pico expressivo em 2018 seguido por drástica redução nos anos seguintes. Enquanto os investimentos apresentaram a trajetória regular, as despesas correntes mantiveram relativa estabilidade, com aumento perceptível em 2021, provavelmente devido às medidas emergenciais da pandemia. Os gastos com pessoal</w:t>
      </w:r>
      <w:r w:rsidR="002C2198">
        <w:rPr>
          <w:rFonts w:ascii="Times New Roman" w:eastAsia="Times New Roman" w:hAnsi="Times New Roman" w:cs="Times New Roman"/>
          <w:sz w:val="24"/>
          <w:szCs w:val="24"/>
        </w:rPr>
        <w:t>, embora sendo maior que as demais modalidades foram decrescentes no período, indicando a redução de custos trabalhistas do setor</w:t>
      </w:r>
      <w:r w:rsidR="002C2198" w:rsidRPr="002F68A0">
        <w:rPr>
          <w:rFonts w:ascii="Times New Roman" w:eastAsia="Times New Roman" w:hAnsi="Times New Roman" w:cs="Times New Roman"/>
          <w:sz w:val="24"/>
          <w:szCs w:val="24"/>
        </w:rPr>
        <w:t xml:space="preserve">, porém com elevado grau de absorção de recursos do setor agrícola. </w:t>
      </w:r>
    </w:p>
    <w:p w14:paraId="1C222F3D" w14:textId="77777777" w:rsidR="002C2198" w:rsidRDefault="002C2198" w:rsidP="00485478">
      <w:pPr>
        <w:shd w:val="clear" w:color="auto" w:fill="FFFFFF"/>
        <w:spacing w:after="0" w:line="360" w:lineRule="auto"/>
        <w:ind w:firstLine="720"/>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O padrão observado sugere uma política industrial descontínua, com fases alternadas de investimento pelo orçamento estatal. Apesar da discreta a recuperação dos investimentos em 2021 e 2022, os valores permanecem abaixo do pat</w:t>
      </w:r>
      <w:r>
        <w:rPr>
          <w:rFonts w:ascii="Times New Roman" w:eastAsia="Times New Roman" w:hAnsi="Times New Roman" w:cs="Times New Roman"/>
          <w:sz w:val="24"/>
          <w:szCs w:val="24"/>
        </w:rPr>
        <w:t>amar de 2018. O</w:t>
      </w:r>
      <w:r w:rsidRPr="002F68A0">
        <w:rPr>
          <w:rFonts w:ascii="Times New Roman" w:eastAsia="Times New Roman" w:hAnsi="Times New Roman" w:cs="Times New Roman"/>
          <w:sz w:val="24"/>
          <w:szCs w:val="24"/>
        </w:rPr>
        <w:t xml:space="preserve"> que pode refletir </w:t>
      </w:r>
      <w:r w:rsidRPr="002F68A0">
        <w:rPr>
          <w:rFonts w:ascii="Times New Roman" w:eastAsia="Times New Roman" w:hAnsi="Times New Roman" w:cs="Times New Roman"/>
          <w:sz w:val="24"/>
          <w:szCs w:val="24"/>
        </w:rPr>
        <w:lastRenderedPageBreak/>
        <w:t>mudanças nas estratégias de desenvolvimento industrial ou restriçõ</w:t>
      </w:r>
      <w:r>
        <w:rPr>
          <w:rFonts w:ascii="Times New Roman" w:eastAsia="Times New Roman" w:hAnsi="Times New Roman" w:cs="Times New Roman"/>
          <w:sz w:val="24"/>
          <w:szCs w:val="24"/>
        </w:rPr>
        <w:t>es orçamentárias do período pós-</w:t>
      </w:r>
      <w:r w:rsidRPr="002F68A0">
        <w:rPr>
          <w:rFonts w:ascii="Times New Roman" w:eastAsia="Times New Roman" w:hAnsi="Times New Roman" w:cs="Times New Roman"/>
          <w:sz w:val="24"/>
          <w:szCs w:val="24"/>
        </w:rPr>
        <w:t>pandemia.</w:t>
      </w:r>
    </w:p>
    <w:p w14:paraId="040C750B" w14:textId="77777777" w:rsidR="009A0111" w:rsidRPr="002F68A0" w:rsidRDefault="009A0111" w:rsidP="00485478">
      <w:pPr>
        <w:shd w:val="clear" w:color="auto" w:fill="FFFFFF"/>
        <w:spacing w:after="0" w:line="360" w:lineRule="auto"/>
        <w:ind w:firstLine="720"/>
        <w:contextualSpacing/>
        <w:jc w:val="both"/>
        <w:rPr>
          <w:rFonts w:ascii="Times New Roman" w:eastAsia="Times New Roman" w:hAnsi="Times New Roman" w:cs="Times New Roman"/>
          <w:sz w:val="24"/>
          <w:szCs w:val="24"/>
        </w:rPr>
      </w:pPr>
    </w:p>
    <w:p w14:paraId="5DAF7AEB" w14:textId="1DE919AE" w:rsidR="002C2198" w:rsidRDefault="0002784E" w:rsidP="00485478">
      <w:pPr>
        <w:shd w:val="clear" w:color="auto" w:fill="FFFFFF"/>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Figura 6</w:t>
      </w:r>
      <w:r w:rsidR="00884F7A">
        <w:rPr>
          <w:rFonts w:ascii="Times New Roman" w:eastAsia="Times New Roman" w:hAnsi="Times New Roman" w:cs="Times New Roman"/>
          <w:sz w:val="24"/>
          <w:szCs w:val="24"/>
        </w:rPr>
        <w:t xml:space="preserve"> </w:t>
      </w:r>
      <w:r w:rsidR="002C2198" w:rsidRPr="00541D57">
        <w:rPr>
          <w:rFonts w:ascii="Times New Roman" w:eastAsia="Times New Roman" w:hAnsi="Times New Roman" w:cs="Times New Roman"/>
          <w:sz w:val="24"/>
          <w:szCs w:val="24"/>
        </w:rPr>
        <w:t xml:space="preserve">- Distribuição das despesas destinadas ao setor industrial pelo governo da </w:t>
      </w:r>
      <w:r w:rsidR="005342DC">
        <w:rPr>
          <w:rFonts w:ascii="Times New Roman" w:eastAsia="Times New Roman" w:hAnsi="Times New Roman" w:cs="Times New Roman"/>
          <w:sz w:val="24"/>
          <w:szCs w:val="24"/>
        </w:rPr>
        <w:t>Paraíba</w:t>
      </w:r>
      <w:r w:rsidR="002C2198" w:rsidRPr="00541D57">
        <w:rPr>
          <w:rFonts w:ascii="Times New Roman" w:eastAsia="Times New Roman" w:hAnsi="Times New Roman" w:cs="Times New Roman"/>
          <w:sz w:val="24"/>
          <w:szCs w:val="24"/>
        </w:rPr>
        <w:t xml:space="preserve"> </w:t>
      </w:r>
      <w:r w:rsidR="002C2198" w:rsidRPr="00541D57">
        <w:rPr>
          <w:rFonts w:ascii="Times New Roman" w:hAnsi="Times New Roman" w:cs="Times New Roman"/>
          <w:sz w:val="24"/>
          <w:szCs w:val="24"/>
        </w:rPr>
        <w:t xml:space="preserve">a </w:t>
      </w:r>
    </w:p>
    <w:p w14:paraId="300B7D10" w14:textId="77777777" w:rsidR="002C2198" w:rsidRPr="00541D57" w:rsidRDefault="002C2198" w:rsidP="00485478">
      <w:pPr>
        <w:shd w:val="clear" w:color="auto" w:fill="FFFFFF"/>
        <w:spacing w:after="0" w:line="240" w:lineRule="auto"/>
        <w:ind w:firstLine="708"/>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541D57">
        <w:rPr>
          <w:rFonts w:ascii="Times New Roman" w:hAnsi="Times New Roman" w:cs="Times New Roman"/>
          <w:sz w:val="24"/>
          <w:szCs w:val="24"/>
        </w:rPr>
        <w:t>preços constantes d</w:t>
      </w:r>
      <w:r>
        <w:rPr>
          <w:rFonts w:ascii="Times New Roman" w:hAnsi="Times New Roman" w:cs="Times New Roman"/>
          <w:sz w:val="24"/>
          <w:szCs w:val="24"/>
        </w:rPr>
        <w:t xml:space="preserve">e 2016 </w:t>
      </w:r>
      <w:r w:rsidRPr="00541D57">
        <w:rPr>
          <w:rFonts w:ascii="Times New Roman" w:hAnsi="Times New Roman" w:cs="Times New Roman"/>
          <w:sz w:val="24"/>
          <w:szCs w:val="24"/>
        </w:rPr>
        <w:t xml:space="preserve">(em R$ milhões) </w:t>
      </w:r>
      <w:r w:rsidRPr="00541D57">
        <w:rPr>
          <w:rFonts w:ascii="Times New Roman" w:eastAsia="Times New Roman" w:hAnsi="Times New Roman" w:cs="Times New Roman"/>
          <w:sz w:val="24"/>
          <w:szCs w:val="24"/>
        </w:rPr>
        <w:t>segundo a destinação 2016 – 2022.</w:t>
      </w:r>
    </w:p>
    <w:p w14:paraId="43C993AC" w14:textId="77777777" w:rsidR="002C2198" w:rsidRPr="002F68A0" w:rsidRDefault="002C2198" w:rsidP="00377E23">
      <w:pPr>
        <w:spacing w:after="0" w:line="360" w:lineRule="auto"/>
        <w:contextualSpacing/>
        <w:jc w:val="both"/>
        <w:rPr>
          <w:rFonts w:ascii="Times New Roman" w:eastAsia="Times New Roman" w:hAnsi="Times New Roman" w:cs="Times New Roman"/>
          <w:sz w:val="24"/>
          <w:szCs w:val="24"/>
        </w:rPr>
      </w:pPr>
      <w:r>
        <w:rPr>
          <w:noProof/>
          <w:lang w:eastAsia="pt-BR"/>
        </w:rPr>
        <w:drawing>
          <wp:inline distT="0" distB="0" distL="0" distR="0" wp14:anchorId="5D312027" wp14:editId="54D5DB13">
            <wp:extent cx="5612130" cy="3493770"/>
            <wp:effectExtent l="0" t="0" r="7620" b="1143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33048E" w14:textId="148D7059" w:rsidR="002C2198" w:rsidRPr="002F68A0" w:rsidRDefault="002C2198" w:rsidP="00377E23">
      <w:pPr>
        <w:spacing w:after="0" w:line="36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Fonte: Portal da Transparência</w:t>
      </w:r>
      <w:r>
        <w:rPr>
          <w:rFonts w:ascii="Times New Roman" w:eastAsia="Times New Roman" w:hAnsi="Times New Roman" w:cs="Times New Roman"/>
          <w:sz w:val="24"/>
          <w:szCs w:val="24"/>
        </w:rPr>
        <w:t xml:space="preserve"> </w:t>
      </w:r>
      <w:r w:rsidR="005342DC">
        <w:rPr>
          <w:rFonts w:ascii="Times New Roman" w:eastAsia="Times New Roman" w:hAnsi="Times New Roman" w:cs="Times New Roman"/>
          <w:sz w:val="24"/>
          <w:szCs w:val="24"/>
        </w:rPr>
        <w:t>Paraíba</w:t>
      </w:r>
      <w:r w:rsidRPr="002F68A0">
        <w:rPr>
          <w:rFonts w:ascii="Times New Roman" w:eastAsia="Times New Roman" w:hAnsi="Times New Roman" w:cs="Times New Roman"/>
          <w:sz w:val="24"/>
          <w:szCs w:val="24"/>
        </w:rPr>
        <w:t>, 2025</w:t>
      </w:r>
    </w:p>
    <w:p w14:paraId="6DA0ACC0" w14:textId="77777777" w:rsidR="00581982" w:rsidRDefault="00581982" w:rsidP="00377E23">
      <w:pPr>
        <w:spacing w:after="0" w:line="360" w:lineRule="auto"/>
        <w:ind w:firstLine="708"/>
        <w:contextualSpacing/>
        <w:jc w:val="both"/>
        <w:rPr>
          <w:rFonts w:ascii="Times New Roman" w:hAnsi="Times New Roman" w:cs="Times New Roman"/>
          <w:sz w:val="24"/>
          <w:szCs w:val="24"/>
        </w:rPr>
      </w:pPr>
    </w:p>
    <w:p w14:paraId="4126158D" w14:textId="78BAD968" w:rsidR="001B1174" w:rsidRDefault="00581982" w:rsidP="00377E23">
      <w:pPr>
        <w:spacing w:after="0" w:line="360" w:lineRule="auto"/>
        <w:ind w:firstLine="708"/>
        <w:contextualSpacing/>
        <w:jc w:val="both"/>
        <w:rPr>
          <w:rFonts w:ascii="Times New Roman" w:hAnsi="Times New Roman" w:cs="Times New Roman"/>
          <w:sz w:val="24"/>
          <w:szCs w:val="24"/>
        </w:rPr>
      </w:pPr>
      <w:r w:rsidRPr="00581982">
        <w:rPr>
          <w:rFonts w:ascii="Times New Roman" w:hAnsi="Times New Roman" w:cs="Times New Roman"/>
          <w:sz w:val="24"/>
          <w:szCs w:val="24"/>
        </w:rPr>
        <w:t>Ao longo do período, observou-se uma nítida desaceleração e descontinuidade nos investimentos estratégicos. Enquanto as despesas com custeio manti</w:t>
      </w:r>
      <w:r>
        <w:rPr>
          <w:rFonts w:ascii="Times New Roman" w:hAnsi="Times New Roman" w:cs="Times New Roman"/>
          <w:sz w:val="24"/>
          <w:szCs w:val="24"/>
        </w:rPr>
        <w:t>veram-se estáveis ou cresceram</w:t>
      </w:r>
      <w:r w:rsidRPr="00581982">
        <w:rPr>
          <w:rFonts w:ascii="Times New Roman" w:hAnsi="Times New Roman" w:cs="Times New Roman"/>
          <w:sz w:val="24"/>
          <w:szCs w:val="24"/>
        </w:rPr>
        <w:t xml:space="preserve"> eventua</w:t>
      </w:r>
      <w:r>
        <w:rPr>
          <w:rFonts w:ascii="Times New Roman" w:hAnsi="Times New Roman" w:cs="Times New Roman"/>
          <w:sz w:val="24"/>
          <w:szCs w:val="24"/>
        </w:rPr>
        <w:t>lmente</w:t>
      </w:r>
      <w:r w:rsidRPr="00581982">
        <w:rPr>
          <w:rFonts w:ascii="Times New Roman" w:hAnsi="Times New Roman" w:cs="Times New Roman"/>
          <w:sz w:val="24"/>
          <w:szCs w:val="24"/>
        </w:rPr>
        <w:t xml:space="preserve"> impulsionados por medidas emergen</w:t>
      </w:r>
      <w:r>
        <w:rPr>
          <w:rFonts w:ascii="Times New Roman" w:hAnsi="Times New Roman" w:cs="Times New Roman"/>
          <w:sz w:val="24"/>
          <w:szCs w:val="24"/>
        </w:rPr>
        <w:t>ciais, como durante a pandemia.</w:t>
      </w:r>
      <w:r w:rsidRPr="00581982">
        <w:rPr>
          <w:rFonts w:ascii="Times New Roman" w:hAnsi="Times New Roman" w:cs="Times New Roman"/>
          <w:sz w:val="24"/>
          <w:szCs w:val="24"/>
        </w:rPr>
        <w:t xml:space="preserve"> Os</w:t>
      </w:r>
      <w:r>
        <w:rPr>
          <w:rFonts w:ascii="Times New Roman" w:hAnsi="Times New Roman" w:cs="Times New Roman"/>
          <w:sz w:val="24"/>
          <w:szCs w:val="24"/>
        </w:rPr>
        <w:t xml:space="preserve"> </w:t>
      </w:r>
      <w:r w:rsidRPr="00581982">
        <w:rPr>
          <w:rFonts w:ascii="Times New Roman" w:hAnsi="Times New Roman" w:cs="Times New Roman"/>
          <w:sz w:val="24"/>
          <w:szCs w:val="24"/>
        </w:rPr>
        <w:t>investimentos sofreram quedas bruscas após breves altas isoladas (como no setor industrial</w:t>
      </w:r>
      <w:r>
        <w:rPr>
          <w:rFonts w:ascii="Times New Roman" w:hAnsi="Times New Roman" w:cs="Times New Roman"/>
          <w:sz w:val="24"/>
          <w:szCs w:val="24"/>
        </w:rPr>
        <w:t xml:space="preserve"> em 2018). Essa abordagem refle</w:t>
      </w:r>
      <w:r w:rsidRPr="00581982">
        <w:rPr>
          <w:rFonts w:ascii="Times New Roman" w:hAnsi="Times New Roman" w:cs="Times New Roman"/>
          <w:sz w:val="24"/>
          <w:szCs w:val="24"/>
        </w:rPr>
        <w:t>te uma gestão ajust</w:t>
      </w:r>
      <w:r>
        <w:rPr>
          <w:rFonts w:ascii="Times New Roman" w:hAnsi="Times New Roman" w:cs="Times New Roman"/>
          <w:sz w:val="24"/>
          <w:szCs w:val="24"/>
        </w:rPr>
        <w:t>es</w:t>
      </w:r>
      <w:r w:rsidRPr="00581982">
        <w:rPr>
          <w:rFonts w:ascii="Times New Roman" w:hAnsi="Times New Roman" w:cs="Times New Roman"/>
          <w:sz w:val="24"/>
          <w:szCs w:val="24"/>
        </w:rPr>
        <w:t xml:space="preserve"> </w:t>
      </w:r>
      <w:r>
        <w:rPr>
          <w:rFonts w:ascii="Times New Roman" w:hAnsi="Times New Roman" w:cs="Times New Roman"/>
          <w:sz w:val="24"/>
          <w:szCs w:val="24"/>
        </w:rPr>
        <w:t>de</w:t>
      </w:r>
      <w:r w:rsidRPr="00581982">
        <w:rPr>
          <w:rFonts w:ascii="Times New Roman" w:hAnsi="Times New Roman" w:cs="Times New Roman"/>
          <w:sz w:val="24"/>
          <w:szCs w:val="24"/>
        </w:rPr>
        <w:t xml:space="preserve"> gastos conforme crises momentâneas, mas carece de um compromisso sustentado com políticas de longo prazo necessárias para imp</w:t>
      </w:r>
      <w:r w:rsidR="008D47AC">
        <w:rPr>
          <w:rFonts w:ascii="Times New Roman" w:hAnsi="Times New Roman" w:cs="Times New Roman"/>
          <w:sz w:val="24"/>
          <w:szCs w:val="24"/>
        </w:rPr>
        <w:t xml:space="preserve">ulsionar o desenvolvimento econômico </w:t>
      </w:r>
      <w:r w:rsidRPr="00581982">
        <w:rPr>
          <w:rFonts w:ascii="Times New Roman" w:hAnsi="Times New Roman" w:cs="Times New Roman"/>
          <w:sz w:val="24"/>
          <w:szCs w:val="24"/>
        </w:rPr>
        <w:t>de forma estruturante.</w:t>
      </w:r>
    </w:p>
    <w:p w14:paraId="48104027" w14:textId="77777777" w:rsidR="00581982" w:rsidRPr="00581982" w:rsidRDefault="00581982" w:rsidP="00377E23">
      <w:pPr>
        <w:spacing w:after="0" w:line="360" w:lineRule="auto"/>
        <w:ind w:firstLine="708"/>
        <w:contextualSpacing/>
        <w:jc w:val="both"/>
        <w:rPr>
          <w:rFonts w:ascii="Times New Roman" w:hAnsi="Times New Roman" w:cs="Times New Roman"/>
          <w:sz w:val="24"/>
          <w:szCs w:val="24"/>
        </w:rPr>
      </w:pPr>
    </w:p>
    <w:p w14:paraId="6B5CFBF7" w14:textId="682EF9E4" w:rsidR="00C77F73" w:rsidRDefault="002C2198" w:rsidP="00377E23">
      <w:pPr>
        <w:pStyle w:val="PargrafodaLista"/>
        <w:shd w:val="clear" w:color="auto" w:fill="FFFFFF"/>
        <w:ind w:left="0"/>
        <w:rPr>
          <w:rFonts w:cs="Times New Roman"/>
          <w:b/>
          <w:szCs w:val="24"/>
        </w:rPr>
      </w:pPr>
      <w:bookmarkStart w:id="0" w:name="_heading=h.qnl1jyaavdyc" w:colFirst="0" w:colLast="0"/>
      <w:bookmarkEnd w:id="0"/>
      <w:r>
        <w:rPr>
          <w:rFonts w:eastAsia="Times New Roman" w:cs="Times New Roman"/>
          <w:b/>
          <w:szCs w:val="24"/>
        </w:rPr>
        <w:t xml:space="preserve">4.3 </w:t>
      </w:r>
      <w:r w:rsidR="003C0E62" w:rsidRPr="00C77F73">
        <w:rPr>
          <w:rFonts w:eastAsia="Times New Roman" w:cs="Times New Roman"/>
          <w:b/>
          <w:szCs w:val="24"/>
        </w:rPr>
        <w:t xml:space="preserve">Evolução da implantação de unidades industriais e do emprego no estado da </w:t>
      </w:r>
      <w:r w:rsidR="005342DC" w:rsidRPr="00C77F73">
        <w:rPr>
          <w:rFonts w:eastAsia="Times New Roman" w:cs="Times New Roman"/>
          <w:b/>
          <w:szCs w:val="24"/>
        </w:rPr>
        <w:t>Paraíba</w:t>
      </w:r>
      <w:r w:rsidR="00C77F73" w:rsidRPr="00C77F73">
        <w:rPr>
          <w:rFonts w:eastAsia="Times New Roman" w:cs="Times New Roman"/>
          <w:b/>
          <w:szCs w:val="24"/>
        </w:rPr>
        <w:t xml:space="preserve"> </w:t>
      </w:r>
      <w:r w:rsidR="00C77F73" w:rsidRPr="00C77F73">
        <w:rPr>
          <w:rFonts w:cs="Times New Roman"/>
          <w:b/>
          <w:szCs w:val="24"/>
        </w:rPr>
        <w:t>no contexto nordestino.</w:t>
      </w:r>
    </w:p>
    <w:p w14:paraId="6B4787C1" w14:textId="77777777" w:rsidR="00740750" w:rsidRPr="00C77F73" w:rsidRDefault="00740750" w:rsidP="00377E23">
      <w:pPr>
        <w:pStyle w:val="PargrafodaLista"/>
        <w:shd w:val="clear" w:color="auto" w:fill="FFFFFF"/>
        <w:ind w:left="0"/>
        <w:rPr>
          <w:rFonts w:eastAsia="Times New Roman" w:cs="Times New Roman"/>
          <w:b/>
          <w:szCs w:val="24"/>
        </w:rPr>
      </w:pPr>
    </w:p>
    <w:p w14:paraId="78C12216" w14:textId="1CF00DFC" w:rsidR="001B1174" w:rsidRPr="002F68A0" w:rsidRDefault="009D219F" w:rsidP="009D219F">
      <w:pPr>
        <w:shd w:val="clear" w:color="auto" w:fill="FFFFFF"/>
        <w:tabs>
          <w:tab w:val="left" w:pos="0"/>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B1174" w:rsidRPr="002F68A0">
        <w:rPr>
          <w:rFonts w:ascii="Times New Roman" w:eastAsia="Times New Roman" w:hAnsi="Times New Roman" w:cs="Times New Roman"/>
          <w:sz w:val="24"/>
          <w:szCs w:val="24"/>
        </w:rPr>
        <w:t xml:space="preserve">O panorama industrial na </w:t>
      </w:r>
      <w:r w:rsidR="005342DC">
        <w:rPr>
          <w:rFonts w:ascii="Times New Roman" w:eastAsia="Times New Roman" w:hAnsi="Times New Roman" w:cs="Times New Roman"/>
          <w:sz w:val="24"/>
          <w:szCs w:val="24"/>
        </w:rPr>
        <w:t>Paraíba</w:t>
      </w:r>
      <w:r w:rsidR="001B1174" w:rsidRPr="002F68A0">
        <w:rPr>
          <w:rFonts w:ascii="Times New Roman" w:eastAsia="Times New Roman" w:hAnsi="Times New Roman" w:cs="Times New Roman"/>
          <w:sz w:val="24"/>
          <w:szCs w:val="24"/>
        </w:rPr>
        <w:t xml:space="preserve"> e no Nordeste entre 2016 e 2022 revela a trajetória marcada por desafios e recuperações com dinâmicas distintas entre o estado e a região durante todo o período</w:t>
      </w:r>
      <w:r w:rsidR="009107EF">
        <w:rPr>
          <w:rFonts w:ascii="Times New Roman" w:eastAsia="Times New Roman" w:hAnsi="Times New Roman" w:cs="Times New Roman"/>
          <w:sz w:val="24"/>
          <w:szCs w:val="24"/>
        </w:rPr>
        <w:t xml:space="preserve"> de acordo </w:t>
      </w:r>
      <w:r w:rsidR="00075740">
        <w:rPr>
          <w:rFonts w:ascii="Times New Roman" w:eastAsia="Times New Roman" w:hAnsi="Times New Roman" w:cs="Times New Roman"/>
          <w:sz w:val="24"/>
          <w:szCs w:val="24"/>
        </w:rPr>
        <w:t>com as informações na tabela 4</w:t>
      </w:r>
      <w:r w:rsidR="001B1174" w:rsidRPr="002F68A0">
        <w:rPr>
          <w:rFonts w:ascii="Times New Roman" w:eastAsia="Times New Roman" w:hAnsi="Times New Roman" w:cs="Times New Roman"/>
          <w:sz w:val="24"/>
          <w:szCs w:val="24"/>
        </w:rPr>
        <w:t xml:space="preserve">. Observa-se uma queda acentuada </w:t>
      </w:r>
      <w:r w:rsidR="001B1174" w:rsidRPr="002F68A0">
        <w:rPr>
          <w:rFonts w:ascii="Times New Roman" w:eastAsia="Times New Roman" w:hAnsi="Times New Roman" w:cs="Times New Roman"/>
          <w:sz w:val="24"/>
          <w:szCs w:val="24"/>
        </w:rPr>
        <w:lastRenderedPageBreak/>
        <w:t xml:space="preserve">seguida por um vigoroso processo de retomada particularmente nos dois últimos anos. Na </w:t>
      </w:r>
      <w:r w:rsidR="005342DC">
        <w:rPr>
          <w:rFonts w:ascii="Times New Roman" w:eastAsia="Times New Roman" w:hAnsi="Times New Roman" w:cs="Times New Roman"/>
          <w:sz w:val="24"/>
          <w:szCs w:val="24"/>
        </w:rPr>
        <w:t>Paraíba</w:t>
      </w:r>
      <w:r w:rsidR="001B1174" w:rsidRPr="002F68A0">
        <w:rPr>
          <w:rFonts w:ascii="Times New Roman" w:eastAsia="Times New Roman" w:hAnsi="Times New Roman" w:cs="Times New Roman"/>
          <w:sz w:val="24"/>
          <w:szCs w:val="24"/>
        </w:rPr>
        <w:t xml:space="preserve"> o cenário foi inicialmente desfavorável com declínio persistente no número de unidades industriais entre 2016 e 2020. O estado partiu de 1746 estabelecimentos industriais em 2016 para apenas 1586 e 2020, uma redução preocupante de 9,2% com apenas 5 anos o ano de 2020 foi especialmente crítico, uma queda de 3,76%, reflexo claro dos impactos iniciais da pandemia do covid-19 na atividade industrial. Contudo, esse quadro se reverte nos dois últimos anos. Em 2021, a </w:t>
      </w:r>
      <w:r w:rsidR="005342DC">
        <w:rPr>
          <w:rFonts w:ascii="Times New Roman" w:eastAsia="Times New Roman" w:hAnsi="Times New Roman" w:cs="Times New Roman"/>
          <w:sz w:val="24"/>
          <w:szCs w:val="24"/>
        </w:rPr>
        <w:t>Paraíba</w:t>
      </w:r>
      <w:r w:rsidR="001B1174" w:rsidRPr="002F68A0">
        <w:rPr>
          <w:rFonts w:ascii="Times New Roman" w:eastAsia="Times New Roman" w:hAnsi="Times New Roman" w:cs="Times New Roman"/>
          <w:sz w:val="24"/>
          <w:szCs w:val="24"/>
        </w:rPr>
        <w:t xml:space="preserve"> tem um crescimento expressivo de 9,21%, seguido por uma expansão ainda mais robusta de 10,51% em 2022 alcançando o número recorde de 1914 unidades industriais traço o maior patamar de toda a série histórica analisada. </w:t>
      </w:r>
    </w:p>
    <w:p w14:paraId="24458E38" w14:textId="2BC45E1F" w:rsidR="001B1174" w:rsidRPr="002F68A0" w:rsidRDefault="001B1174" w:rsidP="00377E23">
      <w:pPr>
        <w:shd w:val="clear" w:color="auto" w:fill="FFFFFF"/>
        <w:spacing w:after="0" w:line="360" w:lineRule="auto"/>
        <w:ind w:firstLine="720"/>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 xml:space="preserve">A comparação entre a </w:t>
      </w:r>
      <w:r w:rsidR="005342DC">
        <w:rPr>
          <w:rFonts w:ascii="Times New Roman" w:eastAsia="Times New Roman" w:hAnsi="Times New Roman" w:cs="Times New Roman"/>
          <w:sz w:val="24"/>
          <w:szCs w:val="24"/>
        </w:rPr>
        <w:t>Paraíba</w:t>
      </w:r>
      <w:r w:rsidRPr="002F68A0">
        <w:rPr>
          <w:rFonts w:ascii="Times New Roman" w:eastAsia="Times New Roman" w:hAnsi="Times New Roman" w:cs="Times New Roman"/>
          <w:sz w:val="24"/>
          <w:szCs w:val="24"/>
        </w:rPr>
        <w:t xml:space="preserve"> e o Nordeste revela contrastes interessantes. Enquanto o estado do paraibano apresentou uma queda mais prolongada, que só foi revertido em 2021, a região nordestina como um todo demonstrou maior resiliência, iniciando sua recuperação já em 2018. Por outro lado, quando a retomada veio, foi mais vigorosa na </w:t>
      </w:r>
      <w:r w:rsidR="005342DC">
        <w:rPr>
          <w:rFonts w:ascii="Times New Roman" w:eastAsia="Times New Roman" w:hAnsi="Times New Roman" w:cs="Times New Roman"/>
          <w:sz w:val="24"/>
          <w:szCs w:val="24"/>
        </w:rPr>
        <w:t>Paraíba</w:t>
      </w:r>
      <w:r w:rsidRPr="002F68A0">
        <w:rPr>
          <w:rFonts w:ascii="Times New Roman" w:eastAsia="Times New Roman" w:hAnsi="Times New Roman" w:cs="Times New Roman"/>
          <w:sz w:val="24"/>
          <w:szCs w:val="24"/>
        </w:rPr>
        <w:t xml:space="preserve">, com taxa de crescimento anual que chegaram a ser quase o dobro das registradas do Nordeste. </w:t>
      </w:r>
    </w:p>
    <w:p w14:paraId="1B6DC74C" w14:textId="7D44DCE1" w:rsidR="001B1174" w:rsidRPr="002F68A0" w:rsidRDefault="001B1174" w:rsidP="00377E23">
      <w:pPr>
        <w:shd w:val="clear" w:color="auto" w:fill="FFFFFF"/>
        <w:spacing w:after="0" w:line="360" w:lineRule="auto"/>
        <w:ind w:firstLine="720"/>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 xml:space="preserve">Essa recuperação observada especialmente a partir de 2021 pode ser atribuída a vários fatores: a superação dos piores efeitos da pandemia, a retomada de investimentos públicos e privados, e possíveis políticas estaduais de incentivo industrialização parecem ter contribuído para o cenário positivo ponto na </w:t>
      </w:r>
      <w:r w:rsidR="005342DC">
        <w:rPr>
          <w:rFonts w:ascii="Times New Roman" w:eastAsia="Times New Roman" w:hAnsi="Times New Roman" w:cs="Times New Roman"/>
          <w:sz w:val="24"/>
          <w:szCs w:val="24"/>
        </w:rPr>
        <w:t>Paraíba</w:t>
      </w:r>
      <w:r w:rsidRPr="002F68A0">
        <w:rPr>
          <w:rFonts w:ascii="Times New Roman" w:eastAsia="Times New Roman" w:hAnsi="Times New Roman" w:cs="Times New Roman"/>
          <w:sz w:val="24"/>
          <w:szCs w:val="24"/>
        </w:rPr>
        <w:t>.</w:t>
      </w:r>
    </w:p>
    <w:p w14:paraId="5D8376FD" w14:textId="77777777" w:rsidR="001B1174" w:rsidRPr="002F68A0" w:rsidRDefault="001B1174" w:rsidP="00377E23">
      <w:pPr>
        <w:shd w:val="clear" w:color="auto" w:fill="FFFFFF"/>
        <w:spacing w:after="0" w:line="360" w:lineRule="auto"/>
        <w:ind w:firstLine="720"/>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A experiência do período analisado mostra que o setor industrial é sensível fatores externos e flutuações econômicas. Para garantir que a expansão não seja passageira, são necessárias políticas públicas consistentes que promovam diversificação industrial, o aumento da produtividade e a inovação tecnológica.</w:t>
      </w:r>
    </w:p>
    <w:p w14:paraId="1778B396" w14:textId="77777777" w:rsidR="001B1174" w:rsidRPr="002F68A0" w:rsidRDefault="001B1174" w:rsidP="00377E23">
      <w:pPr>
        <w:shd w:val="clear" w:color="auto" w:fill="FFFFFF"/>
        <w:spacing w:after="0" w:line="360" w:lineRule="auto"/>
        <w:ind w:firstLine="720"/>
        <w:contextualSpacing/>
        <w:jc w:val="both"/>
        <w:rPr>
          <w:rFonts w:ascii="Times New Roman" w:eastAsia="Times New Roman" w:hAnsi="Times New Roman" w:cs="Times New Roman"/>
          <w:sz w:val="24"/>
          <w:szCs w:val="24"/>
        </w:rPr>
      </w:pPr>
    </w:p>
    <w:p w14:paraId="0C8E35A5" w14:textId="77777777" w:rsidR="001B1174" w:rsidRPr="002F68A0" w:rsidRDefault="001B1174" w:rsidP="00377E23">
      <w:pPr>
        <w:shd w:val="clear" w:color="auto" w:fill="FFFFFF"/>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 xml:space="preserve">Tabela 4 – Distribuição e variação percentual das Unidades Industriais do Nordeste e da </w:t>
      </w:r>
    </w:p>
    <w:p w14:paraId="46ACBE9A" w14:textId="3EC1F274" w:rsidR="001B1174" w:rsidRPr="002F68A0" w:rsidRDefault="005A6271" w:rsidP="00377E23">
      <w:pPr>
        <w:shd w:val="clear" w:color="auto" w:fill="FFFFFF"/>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342DC">
        <w:rPr>
          <w:rFonts w:ascii="Times New Roman" w:eastAsia="Times New Roman" w:hAnsi="Times New Roman" w:cs="Times New Roman"/>
          <w:sz w:val="24"/>
          <w:szCs w:val="24"/>
        </w:rPr>
        <w:t>Paraíba</w:t>
      </w:r>
      <w:r>
        <w:rPr>
          <w:rFonts w:ascii="Times New Roman" w:eastAsia="Times New Roman" w:hAnsi="Times New Roman" w:cs="Times New Roman"/>
          <w:sz w:val="24"/>
          <w:szCs w:val="24"/>
        </w:rPr>
        <w:t>, 2016-2022</w:t>
      </w:r>
    </w:p>
    <w:tbl>
      <w:tblPr>
        <w:tblW w:w="5000" w:type="pct"/>
        <w:jc w:val="center"/>
        <w:tblCellMar>
          <w:left w:w="70" w:type="dxa"/>
          <w:right w:w="70" w:type="dxa"/>
        </w:tblCellMar>
        <w:tblLook w:val="04A0" w:firstRow="1" w:lastRow="0" w:firstColumn="1" w:lastColumn="0" w:noHBand="0" w:noVBand="1"/>
      </w:tblPr>
      <w:tblGrid>
        <w:gridCol w:w="1134"/>
        <w:gridCol w:w="1578"/>
        <w:gridCol w:w="2086"/>
        <w:gridCol w:w="1887"/>
        <w:gridCol w:w="2386"/>
      </w:tblGrid>
      <w:tr w:rsidR="001B1174" w:rsidRPr="002F68A0" w14:paraId="1ECC7256" w14:textId="77777777" w:rsidTr="00884F7A">
        <w:trPr>
          <w:trHeight w:val="315"/>
          <w:jc w:val="center"/>
        </w:trPr>
        <w:tc>
          <w:tcPr>
            <w:tcW w:w="625" w:type="pct"/>
            <w:tcBorders>
              <w:top w:val="single" w:sz="4" w:space="0" w:color="auto"/>
              <w:bottom w:val="single" w:sz="4" w:space="0" w:color="auto"/>
              <w:right w:val="single" w:sz="4" w:space="0" w:color="auto"/>
            </w:tcBorders>
            <w:noWrap/>
            <w:hideMark/>
          </w:tcPr>
          <w:p w14:paraId="6C18F49B" w14:textId="77777777" w:rsidR="001B1174" w:rsidRPr="002F68A0" w:rsidRDefault="001B1174" w:rsidP="00377E23">
            <w:pPr>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Ano</w:t>
            </w:r>
          </w:p>
        </w:tc>
        <w:tc>
          <w:tcPr>
            <w:tcW w:w="870" w:type="pct"/>
            <w:tcBorders>
              <w:top w:val="single" w:sz="4" w:space="0" w:color="auto"/>
              <w:left w:val="single" w:sz="4" w:space="0" w:color="auto"/>
              <w:bottom w:val="single" w:sz="4" w:space="0" w:color="auto"/>
              <w:right w:val="single" w:sz="4" w:space="0" w:color="auto"/>
            </w:tcBorders>
            <w:noWrap/>
            <w:hideMark/>
          </w:tcPr>
          <w:p w14:paraId="146CD646" w14:textId="776AAE22" w:rsidR="001B1174" w:rsidRPr="002F68A0" w:rsidRDefault="005342DC" w:rsidP="00377E23">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Paraíba</w:t>
            </w:r>
          </w:p>
        </w:tc>
        <w:tc>
          <w:tcPr>
            <w:tcW w:w="1150" w:type="pct"/>
            <w:tcBorders>
              <w:top w:val="single" w:sz="4" w:space="0" w:color="auto"/>
              <w:left w:val="single" w:sz="4" w:space="0" w:color="auto"/>
              <w:bottom w:val="single" w:sz="4" w:space="0" w:color="auto"/>
              <w:right w:val="single" w:sz="4" w:space="0" w:color="auto"/>
            </w:tcBorders>
            <w:hideMark/>
          </w:tcPr>
          <w:p w14:paraId="2E64E790" w14:textId="790CFD6E" w:rsidR="001B1174" w:rsidRPr="002F68A0" w:rsidRDefault="005342DC" w:rsidP="00377E23">
            <w:pPr>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Paraíba</w:t>
            </w:r>
            <w:r w:rsidR="001B1174" w:rsidRPr="002F68A0">
              <w:rPr>
                <w:rFonts w:ascii="Times New Roman" w:eastAsia="Times New Roman" w:hAnsi="Times New Roman" w:cs="Times New Roman"/>
                <w:bCs/>
                <w:sz w:val="24"/>
                <w:szCs w:val="24"/>
              </w:rPr>
              <w:t xml:space="preserve"> (Δ%)</w:t>
            </w:r>
          </w:p>
        </w:tc>
        <w:tc>
          <w:tcPr>
            <w:tcW w:w="1040" w:type="pct"/>
            <w:tcBorders>
              <w:top w:val="single" w:sz="4" w:space="0" w:color="auto"/>
              <w:left w:val="single" w:sz="4" w:space="0" w:color="auto"/>
              <w:bottom w:val="single" w:sz="4" w:space="0" w:color="auto"/>
              <w:right w:val="single" w:sz="4" w:space="0" w:color="auto"/>
            </w:tcBorders>
          </w:tcPr>
          <w:p w14:paraId="701458A0"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Nordeste</w:t>
            </w:r>
          </w:p>
        </w:tc>
        <w:tc>
          <w:tcPr>
            <w:tcW w:w="1316" w:type="pct"/>
            <w:tcBorders>
              <w:top w:val="single" w:sz="4" w:space="0" w:color="auto"/>
              <w:left w:val="single" w:sz="4" w:space="0" w:color="auto"/>
              <w:bottom w:val="single" w:sz="4" w:space="0" w:color="auto"/>
            </w:tcBorders>
            <w:hideMark/>
          </w:tcPr>
          <w:p w14:paraId="5798DFBE" w14:textId="77777777" w:rsidR="001B1174" w:rsidRPr="002F68A0" w:rsidRDefault="001B1174" w:rsidP="00377E23">
            <w:pPr>
              <w:spacing w:after="0" w:line="240" w:lineRule="auto"/>
              <w:contextualSpacing/>
              <w:jc w:val="center"/>
              <w:rPr>
                <w:rFonts w:ascii="Times New Roman" w:eastAsia="Times New Roman" w:hAnsi="Times New Roman" w:cs="Times New Roman"/>
                <w:bCs/>
                <w:sz w:val="24"/>
                <w:szCs w:val="24"/>
              </w:rPr>
            </w:pPr>
            <w:r w:rsidRPr="002F68A0">
              <w:rPr>
                <w:rFonts w:ascii="Times New Roman" w:eastAsia="Times New Roman" w:hAnsi="Times New Roman" w:cs="Times New Roman"/>
                <w:bCs/>
                <w:sz w:val="24"/>
                <w:szCs w:val="24"/>
              </w:rPr>
              <w:t>Nordeste (Δ%)</w:t>
            </w:r>
          </w:p>
        </w:tc>
      </w:tr>
      <w:tr w:rsidR="001B1174" w:rsidRPr="002F68A0" w14:paraId="1E293586" w14:textId="77777777" w:rsidTr="00884F7A">
        <w:trPr>
          <w:trHeight w:val="315"/>
          <w:jc w:val="center"/>
        </w:trPr>
        <w:tc>
          <w:tcPr>
            <w:tcW w:w="625" w:type="pct"/>
            <w:tcBorders>
              <w:top w:val="single" w:sz="4" w:space="0" w:color="auto"/>
            </w:tcBorders>
            <w:noWrap/>
            <w:hideMark/>
          </w:tcPr>
          <w:p w14:paraId="244B1FD1" w14:textId="77777777" w:rsidR="001B1174" w:rsidRPr="002F68A0" w:rsidRDefault="001B1174" w:rsidP="00377E23">
            <w:pPr>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2016</w:t>
            </w:r>
          </w:p>
        </w:tc>
        <w:tc>
          <w:tcPr>
            <w:tcW w:w="870" w:type="pct"/>
            <w:tcBorders>
              <w:top w:val="single" w:sz="4" w:space="0" w:color="auto"/>
            </w:tcBorders>
            <w:shd w:val="clear" w:color="000000" w:fill="FFFFFF"/>
            <w:noWrap/>
            <w:hideMark/>
          </w:tcPr>
          <w:p w14:paraId="71104ED8"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1746</w:t>
            </w:r>
          </w:p>
        </w:tc>
        <w:tc>
          <w:tcPr>
            <w:tcW w:w="1150" w:type="pct"/>
            <w:tcBorders>
              <w:top w:val="single" w:sz="4" w:space="0" w:color="auto"/>
            </w:tcBorders>
            <w:noWrap/>
            <w:hideMark/>
          </w:tcPr>
          <w:p w14:paraId="19AD9DF8"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w:t>
            </w:r>
          </w:p>
        </w:tc>
        <w:tc>
          <w:tcPr>
            <w:tcW w:w="1040" w:type="pct"/>
            <w:tcBorders>
              <w:top w:val="single" w:sz="4" w:space="0" w:color="auto"/>
            </w:tcBorders>
          </w:tcPr>
          <w:p w14:paraId="34920358"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23577</w:t>
            </w:r>
          </w:p>
        </w:tc>
        <w:tc>
          <w:tcPr>
            <w:tcW w:w="1316" w:type="pct"/>
            <w:tcBorders>
              <w:top w:val="single" w:sz="4" w:space="0" w:color="auto"/>
            </w:tcBorders>
            <w:noWrap/>
            <w:hideMark/>
          </w:tcPr>
          <w:p w14:paraId="60970F0C"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w:t>
            </w:r>
          </w:p>
        </w:tc>
      </w:tr>
      <w:tr w:rsidR="001B1174" w:rsidRPr="002F68A0" w14:paraId="56FF7C64" w14:textId="77777777" w:rsidTr="00CD321E">
        <w:trPr>
          <w:trHeight w:val="315"/>
          <w:jc w:val="center"/>
        </w:trPr>
        <w:tc>
          <w:tcPr>
            <w:tcW w:w="625" w:type="pct"/>
            <w:noWrap/>
            <w:hideMark/>
          </w:tcPr>
          <w:p w14:paraId="2DF71A51" w14:textId="77777777" w:rsidR="001B1174" w:rsidRPr="002F68A0" w:rsidRDefault="001B1174" w:rsidP="00377E23">
            <w:pPr>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2017</w:t>
            </w:r>
          </w:p>
        </w:tc>
        <w:tc>
          <w:tcPr>
            <w:tcW w:w="870" w:type="pct"/>
            <w:shd w:val="clear" w:color="000000" w:fill="FFFFFF"/>
            <w:noWrap/>
            <w:hideMark/>
          </w:tcPr>
          <w:p w14:paraId="7BB95796"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1717</w:t>
            </w:r>
          </w:p>
        </w:tc>
        <w:tc>
          <w:tcPr>
            <w:tcW w:w="1150" w:type="pct"/>
            <w:hideMark/>
          </w:tcPr>
          <w:p w14:paraId="1061FE3F"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-1,66</w:t>
            </w:r>
          </w:p>
        </w:tc>
        <w:tc>
          <w:tcPr>
            <w:tcW w:w="1040" w:type="pct"/>
          </w:tcPr>
          <w:p w14:paraId="1A6367F8"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21965</w:t>
            </w:r>
          </w:p>
        </w:tc>
        <w:tc>
          <w:tcPr>
            <w:tcW w:w="1316" w:type="pct"/>
            <w:hideMark/>
          </w:tcPr>
          <w:p w14:paraId="72984798"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-6,84</w:t>
            </w:r>
          </w:p>
        </w:tc>
      </w:tr>
      <w:tr w:rsidR="001B1174" w:rsidRPr="002F68A0" w14:paraId="626DAA49" w14:textId="77777777" w:rsidTr="00CD321E">
        <w:trPr>
          <w:trHeight w:val="315"/>
          <w:jc w:val="center"/>
        </w:trPr>
        <w:tc>
          <w:tcPr>
            <w:tcW w:w="625" w:type="pct"/>
            <w:noWrap/>
            <w:hideMark/>
          </w:tcPr>
          <w:p w14:paraId="2253F101" w14:textId="77777777" w:rsidR="001B1174" w:rsidRPr="002F68A0" w:rsidRDefault="001B1174" w:rsidP="00377E23">
            <w:pPr>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2018</w:t>
            </w:r>
          </w:p>
        </w:tc>
        <w:tc>
          <w:tcPr>
            <w:tcW w:w="870" w:type="pct"/>
            <w:shd w:val="clear" w:color="000000" w:fill="FFFFFF"/>
            <w:noWrap/>
            <w:hideMark/>
          </w:tcPr>
          <w:p w14:paraId="095183B1"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1681</w:t>
            </w:r>
          </w:p>
        </w:tc>
        <w:tc>
          <w:tcPr>
            <w:tcW w:w="1150" w:type="pct"/>
            <w:hideMark/>
          </w:tcPr>
          <w:p w14:paraId="1735C5FD"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-2,10</w:t>
            </w:r>
          </w:p>
        </w:tc>
        <w:tc>
          <w:tcPr>
            <w:tcW w:w="1040" w:type="pct"/>
          </w:tcPr>
          <w:p w14:paraId="04F94697"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22627</w:t>
            </w:r>
          </w:p>
        </w:tc>
        <w:tc>
          <w:tcPr>
            <w:tcW w:w="1316" w:type="pct"/>
            <w:hideMark/>
          </w:tcPr>
          <w:p w14:paraId="6A15D3DD"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3,01</w:t>
            </w:r>
          </w:p>
        </w:tc>
      </w:tr>
      <w:tr w:rsidR="001B1174" w:rsidRPr="002F68A0" w14:paraId="28856963" w14:textId="77777777" w:rsidTr="00CD321E">
        <w:trPr>
          <w:trHeight w:val="315"/>
          <w:jc w:val="center"/>
        </w:trPr>
        <w:tc>
          <w:tcPr>
            <w:tcW w:w="625" w:type="pct"/>
            <w:noWrap/>
            <w:hideMark/>
          </w:tcPr>
          <w:p w14:paraId="242AAD08" w14:textId="77777777" w:rsidR="001B1174" w:rsidRPr="002F68A0" w:rsidRDefault="001B1174" w:rsidP="00377E23">
            <w:pPr>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2019</w:t>
            </w:r>
          </w:p>
        </w:tc>
        <w:tc>
          <w:tcPr>
            <w:tcW w:w="870" w:type="pct"/>
            <w:shd w:val="clear" w:color="000000" w:fill="FFFFFF"/>
            <w:noWrap/>
            <w:hideMark/>
          </w:tcPr>
          <w:p w14:paraId="143CBEB6"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1648</w:t>
            </w:r>
          </w:p>
        </w:tc>
        <w:tc>
          <w:tcPr>
            <w:tcW w:w="1150" w:type="pct"/>
            <w:hideMark/>
          </w:tcPr>
          <w:p w14:paraId="796D056F"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-1,96</w:t>
            </w:r>
          </w:p>
        </w:tc>
        <w:tc>
          <w:tcPr>
            <w:tcW w:w="1040" w:type="pct"/>
          </w:tcPr>
          <w:p w14:paraId="667671CD"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22954</w:t>
            </w:r>
          </w:p>
        </w:tc>
        <w:tc>
          <w:tcPr>
            <w:tcW w:w="1316" w:type="pct"/>
            <w:hideMark/>
          </w:tcPr>
          <w:p w14:paraId="68F8B6B0"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1,45</w:t>
            </w:r>
          </w:p>
        </w:tc>
      </w:tr>
      <w:tr w:rsidR="001B1174" w:rsidRPr="002F68A0" w14:paraId="2299BA98" w14:textId="77777777" w:rsidTr="00CD321E">
        <w:trPr>
          <w:trHeight w:val="315"/>
          <w:jc w:val="center"/>
        </w:trPr>
        <w:tc>
          <w:tcPr>
            <w:tcW w:w="625" w:type="pct"/>
            <w:noWrap/>
            <w:hideMark/>
          </w:tcPr>
          <w:p w14:paraId="2128C093" w14:textId="77777777" w:rsidR="001B1174" w:rsidRPr="002F68A0" w:rsidRDefault="001B1174" w:rsidP="00377E23">
            <w:pPr>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2020</w:t>
            </w:r>
          </w:p>
        </w:tc>
        <w:tc>
          <w:tcPr>
            <w:tcW w:w="870" w:type="pct"/>
            <w:shd w:val="clear" w:color="000000" w:fill="FFFFFF"/>
            <w:noWrap/>
            <w:hideMark/>
          </w:tcPr>
          <w:p w14:paraId="3370976D"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1586</w:t>
            </w:r>
          </w:p>
        </w:tc>
        <w:tc>
          <w:tcPr>
            <w:tcW w:w="1150" w:type="pct"/>
            <w:hideMark/>
          </w:tcPr>
          <w:p w14:paraId="016E0A24"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-3,76</w:t>
            </w:r>
          </w:p>
        </w:tc>
        <w:tc>
          <w:tcPr>
            <w:tcW w:w="1040" w:type="pct"/>
          </w:tcPr>
          <w:p w14:paraId="7587BCE0"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23063</w:t>
            </w:r>
          </w:p>
        </w:tc>
        <w:tc>
          <w:tcPr>
            <w:tcW w:w="1316" w:type="pct"/>
            <w:hideMark/>
          </w:tcPr>
          <w:p w14:paraId="7365C73F"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0,47</w:t>
            </w:r>
          </w:p>
        </w:tc>
      </w:tr>
      <w:tr w:rsidR="001B1174" w:rsidRPr="002F68A0" w14:paraId="32FBF6CA" w14:textId="77777777" w:rsidTr="00CD321E">
        <w:trPr>
          <w:trHeight w:val="315"/>
          <w:jc w:val="center"/>
        </w:trPr>
        <w:tc>
          <w:tcPr>
            <w:tcW w:w="625" w:type="pct"/>
            <w:noWrap/>
            <w:hideMark/>
          </w:tcPr>
          <w:p w14:paraId="7E9812AF" w14:textId="77777777" w:rsidR="001B1174" w:rsidRPr="002F68A0" w:rsidRDefault="001B1174" w:rsidP="00377E23">
            <w:pPr>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2021</w:t>
            </w:r>
          </w:p>
        </w:tc>
        <w:tc>
          <w:tcPr>
            <w:tcW w:w="870" w:type="pct"/>
            <w:shd w:val="clear" w:color="000000" w:fill="FFFFFF"/>
            <w:noWrap/>
            <w:hideMark/>
          </w:tcPr>
          <w:p w14:paraId="2B11CFFE"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1732</w:t>
            </w:r>
          </w:p>
        </w:tc>
        <w:tc>
          <w:tcPr>
            <w:tcW w:w="1150" w:type="pct"/>
            <w:hideMark/>
          </w:tcPr>
          <w:p w14:paraId="65650608"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9,21</w:t>
            </w:r>
          </w:p>
        </w:tc>
        <w:tc>
          <w:tcPr>
            <w:tcW w:w="1040" w:type="pct"/>
          </w:tcPr>
          <w:p w14:paraId="6FA55B09"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23764</w:t>
            </w:r>
          </w:p>
        </w:tc>
        <w:tc>
          <w:tcPr>
            <w:tcW w:w="1316" w:type="pct"/>
            <w:hideMark/>
          </w:tcPr>
          <w:p w14:paraId="35A26B52"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3,04</w:t>
            </w:r>
          </w:p>
        </w:tc>
      </w:tr>
      <w:tr w:rsidR="001B1174" w:rsidRPr="002F68A0" w14:paraId="77F55558" w14:textId="77777777" w:rsidTr="00CD321E">
        <w:trPr>
          <w:trHeight w:val="315"/>
          <w:jc w:val="center"/>
        </w:trPr>
        <w:tc>
          <w:tcPr>
            <w:tcW w:w="625" w:type="pct"/>
            <w:noWrap/>
            <w:hideMark/>
          </w:tcPr>
          <w:p w14:paraId="07378099" w14:textId="77777777" w:rsidR="001B1174" w:rsidRPr="002F68A0" w:rsidRDefault="001B1174" w:rsidP="00377E23">
            <w:pPr>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2022</w:t>
            </w:r>
          </w:p>
        </w:tc>
        <w:tc>
          <w:tcPr>
            <w:tcW w:w="870" w:type="pct"/>
            <w:shd w:val="clear" w:color="000000" w:fill="FFFFFF"/>
            <w:hideMark/>
          </w:tcPr>
          <w:p w14:paraId="774D1F8E"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1914</w:t>
            </w:r>
          </w:p>
        </w:tc>
        <w:tc>
          <w:tcPr>
            <w:tcW w:w="1150" w:type="pct"/>
            <w:hideMark/>
          </w:tcPr>
          <w:p w14:paraId="64C090B5"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10,51</w:t>
            </w:r>
          </w:p>
        </w:tc>
        <w:tc>
          <w:tcPr>
            <w:tcW w:w="1040" w:type="pct"/>
          </w:tcPr>
          <w:p w14:paraId="4A7C4EFD"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25053</w:t>
            </w:r>
          </w:p>
        </w:tc>
        <w:tc>
          <w:tcPr>
            <w:tcW w:w="1316" w:type="pct"/>
            <w:hideMark/>
          </w:tcPr>
          <w:p w14:paraId="1DEF1495"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5,42</w:t>
            </w:r>
          </w:p>
        </w:tc>
      </w:tr>
    </w:tbl>
    <w:p w14:paraId="19D7FA2C" w14:textId="77777777" w:rsidR="001B1174" w:rsidRPr="00BB7197" w:rsidRDefault="001B1174" w:rsidP="00377E23">
      <w:pPr>
        <w:shd w:val="clear" w:color="auto" w:fill="FFFFFF"/>
        <w:spacing w:after="0" w:line="240" w:lineRule="auto"/>
        <w:contextualSpacing/>
        <w:jc w:val="both"/>
        <w:rPr>
          <w:rFonts w:ascii="Times New Roman" w:eastAsia="Times New Roman" w:hAnsi="Times New Roman" w:cs="Times New Roman"/>
          <w:sz w:val="20"/>
          <w:szCs w:val="20"/>
        </w:rPr>
      </w:pPr>
      <w:r w:rsidRPr="00BB7197">
        <w:rPr>
          <w:rFonts w:ascii="Times New Roman" w:eastAsia="Times New Roman" w:hAnsi="Times New Roman" w:cs="Times New Roman"/>
          <w:sz w:val="20"/>
          <w:szCs w:val="20"/>
        </w:rPr>
        <w:t>Fonte: RAIS/CAGED, 2016-2022</w:t>
      </w:r>
    </w:p>
    <w:p w14:paraId="0DA51E5D" w14:textId="77777777" w:rsidR="001B1174" w:rsidRPr="002F68A0" w:rsidRDefault="001B1174" w:rsidP="00377E23">
      <w:pPr>
        <w:shd w:val="clear" w:color="auto" w:fill="FFFFFF"/>
        <w:spacing w:after="0" w:line="360" w:lineRule="auto"/>
        <w:contextualSpacing/>
        <w:jc w:val="both"/>
        <w:rPr>
          <w:rFonts w:ascii="Times New Roman" w:eastAsia="Times New Roman" w:hAnsi="Times New Roman" w:cs="Times New Roman"/>
          <w:sz w:val="24"/>
          <w:szCs w:val="24"/>
        </w:rPr>
      </w:pPr>
    </w:p>
    <w:p w14:paraId="50DD946E" w14:textId="762B6511" w:rsidR="00455410" w:rsidRDefault="0017638A" w:rsidP="00377E23">
      <w:pPr>
        <w:shd w:val="clear" w:color="auto" w:fill="FFFFFF"/>
        <w:spacing w:after="0" w:line="360" w:lineRule="auto"/>
        <w:ind w:firstLine="720"/>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 figur</w:t>
      </w:r>
      <w:r w:rsidR="0002784E">
        <w:rPr>
          <w:rFonts w:ascii="Times New Roman" w:hAnsi="Times New Roman" w:cs="Times New Roman"/>
          <w:sz w:val="24"/>
          <w:szCs w:val="24"/>
          <w:shd w:val="clear" w:color="auto" w:fill="FFFFFF"/>
        </w:rPr>
        <w:t>a 7</w:t>
      </w:r>
      <w:r w:rsidR="001B1174" w:rsidRPr="002F68A0">
        <w:rPr>
          <w:rFonts w:ascii="Times New Roman" w:hAnsi="Times New Roman" w:cs="Times New Roman"/>
          <w:sz w:val="24"/>
          <w:szCs w:val="24"/>
          <w:shd w:val="clear" w:color="auto" w:fill="FFFFFF"/>
        </w:rPr>
        <w:t xml:space="preserve"> apresenta a trajetória de estabelecimentos por grande setor econômico no estado. O comércio oscilou entre 25</w:t>
      </w:r>
      <w:r w:rsidR="009F66A0">
        <w:rPr>
          <w:rFonts w:ascii="Times New Roman" w:hAnsi="Times New Roman" w:cs="Times New Roman"/>
          <w:sz w:val="24"/>
          <w:szCs w:val="24"/>
          <w:shd w:val="clear" w:color="auto" w:fill="FFFFFF"/>
        </w:rPr>
        <w:t>%</w:t>
      </w:r>
      <w:r w:rsidR="001B1174" w:rsidRPr="002F68A0">
        <w:rPr>
          <w:rFonts w:ascii="Times New Roman" w:hAnsi="Times New Roman" w:cs="Times New Roman"/>
          <w:sz w:val="24"/>
          <w:szCs w:val="24"/>
          <w:shd w:val="clear" w:color="auto" w:fill="FFFFFF"/>
        </w:rPr>
        <w:t xml:space="preserve"> e 30%, mostrando sensibilidade as conjunturas econômicas, com queda perceptiva em 2020 ano da pandemia e recuperação parcial posterior. A indústria manteve participação modesta 15 a 20%, ligeiro a tendência de declínio a partir de 2019, possivelmente refletindo o desafio industrialização regional. A construção civil variou entre 5 e 10%, demonstrando comportamento cíclico típico do setor, com pico em 2018 seguindo de contração. Já a agropecuária apresentou a menor participação abaixo de 5%, porém com relativa estabilidade, indicando seu papel secundário na estrutura empresarial formal do estado.</w:t>
      </w:r>
    </w:p>
    <w:p w14:paraId="62F87041" w14:textId="77777777" w:rsidR="00C33F3E" w:rsidRPr="002F68A0" w:rsidRDefault="00C33F3E" w:rsidP="00377E23">
      <w:pPr>
        <w:shd w:val="clear" w:color="auto" w:fill="FFFFFF"/>
        <w:spacing w:after="0" w:line="360" w:lineRule="auto"/>
        <w:ind w:firstLine="720"/>
        <w:contextualSpacing/>
        <w:jc w:val="both"/>
        <w:rPr>
          <w:rFonts w:ascii="Times New Roman" w:hAnsi="Times New Roman" w:cs="Times New Roman"/>
          <w:sz w:val="24"/>
          <w:szCs w:val="24"/>
          <w:shd w:val="clear" w:color="auto" w:fill="FFFFFF"/>
        </w:rPr>
      </w:pPr>
    </w:p>
    <w:p w14:paraId="7C45EE75" w14:textId="3DDA0ED1" w:rsidR="001B1174" w:rsidRPr="002F68A0" w:rsidRDefault="0002784E" w:rsidP="00377E23">
      <w:pPr>
        <w:shd w:val="clear" w:color="auto" w:fill="FFFFFF"/>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7</w:t>
      </w:r>
      <w:r w:rsidR="001B1174" w:rsidRPr="002F68A0">
        <w:rPr>
          <w:rFonts w:ascii="Times New Roman" w:eastAsia="Times New Roman" w:hAnsi="Times New Roman" w:cs="Times New Roman"/>
          <w:sz w:val="24"/>
          <w:szCs w:val="24"/>
        </w:rPr>
        <w:t xml:space="preserve"> – Percentual de estabelecimentos por grande setor econômico da </w:t>
      </w:r>
      <w:r w:rsidR="005342DC">
        <w:rPr>
          <w:rFonts w:ascii="Times New Roman" w:eastAsia="Times New Roman" w:hAnsi="Times New Roman" w:cs="Times New Roman"/>
          <w:sz w:val="24"/>
          <w:szCs w:val="24"/>
        </w:rPr>
        <w:t>Paraíba</w:t>
      </w:r>
      <w:r w:rsidR="001B1174" w:rsidRPr="002F68A0">
        <w:rPr>
          <w:rFonts w:ascii="Times New Roman" w:eastAsia="Times New Roman" w:hAnsi="Times New Roman" w:cs="Times New Roman"/>
          <w:sz w:val="24"/>
          <w:szCs w:val="24"/>
        </w:rPr>
        <w:t>, 2016-2020</w:t>
      </w:r>
      <w:r w:rsidR="001B1174" w:rsidRPr="002F68A0">
        <w:rPr>
          <w:rFonts w:ascii="Times New Roman" w:hAnsi="Times New Roman" w:cs="Times New Roman"/>
          <w:noProof/>
          <w:sz w:val="24"/>
          <w:szCs w:val="24"/>
          <w:lang w:eastAsia="pt-BR"/>
        </w:rPr>
        <w:drawing>
          <wp:inline distT="0" distB="0" distL="0" distR="0" wp14:anchorId="2511B533" wp14:editId="032EBD5B">
            <wp:extent cx="5532120" cy="3680460"/>
            <wp:effectExtent l="0" t="0" r="11430" b="1524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1DA0620" w14:textId="77777777" w:rsidR="001B1174" w:rsidRPr="002F68A0" w:rsidRDefault="001B1174" w:rsidP="00377E23">
      <w:pPr>
        <w:shd w:val="clear" w:color="auto" w:fill="FFFFFF"/>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Fonte: RAIS/CAGED, 2016-2022</w:t>
      </w:r>
    </w:p>
    <w:p w14:paraId="6F0E9708" w14:textId="77777777" w:rsidR="001F0AEA" w:rsidRDefault="001F0AEA" w:rsidP="00377E23">
      <w:pPr>
        <w:shd w:val="clear" w:color="auto" w:fill="FFFFFF"/>
        <w:spacing w:after="0" w:line="360" w:lineRule="auto"/>
        <w:ind w:firstLine="720"/>
        <w:contextualSpacing/>
        <w:jc w:val="both"/>
        <w:rPr>
          <w:rFonts w:ascii="Times New Roman" w:hAnsi="Times New Roman" w:cs="Times New Roman"/>
          <w:sz w:val="24"/>
          <w:szCs w:val="24"/>
          <w:shd w:val="clear" w:color="auto" w:fill="FFFFFF"/>
        </w:rPr>
      </w:pPr>
    </w:p>
    <w:p w14:paraId="1254DCE8" w14:textId="6BC8E3FB" w:rsidR="001B1174" w:rsidRPr="002F68A0" w:rsidRDefault="009F66A0" w:rsidP="00377E23">
      <w:pPr>
        <w:shd w:val="clear" w:color="auto" w:fill="FFFFFF"/>
        <w:spacing w:after="0" w:line="360" w:lineRule="auto"/>
        <w:ind w:firstLine="720"/>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a</w:t>
      </w:r>
      <w:r w:rsidR="001B1174" w:rsidRPr="002F68A0">
        <w:rPr>
          <w:rFonts w:ascii="Times New Roman" w:hAnsi="Times New Roman" w:cs="Times New Roman"/>
          <w:sz w:val="24"/>
          <w:szCs w:val="24"/>
          <w:shd w:val="clear" w:color="auto" w:fill="FFFFFF"/>
        </w:rPr>
        <w:t xml:space="preserve">nálise da evolução percentual das unidades industriais na </w:t>
      </w:r>
      <w:r w:rsidR="005342DC">
        <w:rPr>
          <w:rFonts w:ascii="Times New Roman" w:hAnsi="Times New Roman" w:cs="Times New Roman"/>
          <w:sz w:val="24"/>
          <w:szCs w:val="24"/>
          <w:shd w:val="clear" w:color="auto" w:fill="FFFFFF"/>
        </w:rPr>
        <w:t>Paraíba</w:t>
      </w:r>
      <w:r w:rsidR="001B1174" w:rsidRPr="002F68A0">
        <w:rPr>
          <w:rFonts w:ascii="Times New Roman" w:hAnsi="Times New Roman" w:cs="Times New Roman"/>
          <w:sz w:val="24"/>
          <w:szCs w:val="24"/>
          <w:shd w:val="clear" w:color="auto" w:fill="FFFFFF"/>
        </w:rPr>
        <w:t xml:space="preserve"> 2016-2022 revela uma predominância consistente da indústria de transformação, que mant</w:t>
      </w:r>
      <w:r>
        <w:rPr>
          <w:rFonts w:ascii="Times New Roman" w:hAnsi="Times New Roman" w:cs="Times New Roman"/>
          <w:sz w:val="24"/>
          <w:szCs w:val="24"/>
          <w:shd w:val="clear" w:color="auto" w:fill="FFFFFF"/>
        </w:rPr>
        <w:t>e</w:t>
      </w:r>
      <w:r w:rsidR="001B1174" w:rsidRPr="002F68A0">
        <w:rPr>
          <w:rFonts w:ascii="Times New Roman" w:hAnsi="Times New Roman" w:cs="Times New Roman"/>
          <w:sz w:val="24"/>
          <w:szCs w:val="24"/>
          <w:shd w:val="clear" w:color="auto" w:fill="FFFFFF"/>
        </w:rPr>
        <w:t xml:space="preserve">ve participação acima de 60% ao longo de todo período, embora com leve tendência de declínio a partir de 2019. Esse setor, que inclui atividade como têxteis, alimentos, e bebidas, permaneceu como o principal pilar da indústria paraibana, mesmo com os impactos da pandemia em 2020. </w:t>
      </w:r>
    </w:p>
    <w:p w14:paraId="5CAB74FD" w14:textId="286274AA" w:rsidR="001B1174" w:rsidRPr="00933C39" w:rsidRDefault="001B1174" w:rsidP="00377E23">
      <w:pPr>
        <w:shd w:val="clear" w:color="auto" w:fill="FFFFFF"/>
        <w:spacing w:after="0" w:line="360" w:lineRule="auto"/>
        <w:ind w:firstLine="720"/>
        <w:contextualSpacing/>
        <w:jc w:val="both"/>
        <w:rPr>
          <w:rFonts w:ascii="Times New Roman" w:hAnsi="Times New Roman" w:cs="Times New Roman"/>
          <w:sz w:val="24"/>
          <w:szCs w:val="24"/>
          <w:shd w:val="clear" w:color="auto" w:fill="FFFFFF"/>
        </w:rPr>
      </w:pPr>
      <w:r w:rsidRPr="00933C39">
        <w:rPr>
          <w:rFonts w:ascii="Times New Roman" w:hAnsi="Times New Roman" w:cs="Times New Roman"/>
          <w:sz w:val="24"/>
          <w:szCs w:val="24"/>
          <w:shd w:val="clear" w:color="auto" w:fill="FFFFFF"/>
        </w:rPr>
        <w:lastRenderedPageBreak/>
        <w:t>A construção civil apresentou a segunda maior participação, oscilando entre 20% e</w:t>
      </w:r>
      <w:r w:rsidR="00933C39" w:rsidRPr="00933C39">
        <w:rPr>
          <w:rFonts w:ascii="Times New Roman" w:hAnsi="Times New Roman" w:cs="Times New Roman"/>
          <w:sz w:val="24"/>
          <w:szCs w:val="24"/>
          <w:shd w:val="clear" w:color="auto" w:fill="FFFFFF"/>
        </w:rPr>
        <w:t xml:space="preserve"> 30%, com queda acentuada em 2019</w:t>
      </w:r>
      <w:r w:rsidRPr="00933C39">
        <w:rPr>
          <w:rFonts w:ascii="Times New Roman" w:hAnsi="Times New Roman" w:cs="Times New Roman"/>
          <w:sz w:val="24"/>
          <w:szCs w:val="24"/>
          <w:shd w:val="clear" w:color="auto" w:fill="FFFFFF"/>
        </w:rPr>
        <w:t xml:space="preserve"> seguida de recuperação parcial, refletindo a sensibilidade do setor aos ciclos econômicos</w:t>
      </w:r>
      <w:r w:rsidR="00933C39" w:rsidRPr="00933C39">
        <w:rPr>
          <w:rFonts w:ascii="Times New Roman" w:hAnsi="Times New Roman" w:cs="Times New Roman"/>
          <w:sz w:val="24"/>
          <w:szCs w:val="24"/>
          <w:shd w:val="clear" w:color="auto" w:fill="FFFFFF"/>
        </w:rPr>
        <w:t xml:space="preserve"> e a pandemia</w:t>
      </w:r>
      <w:r w:rsidRPr="00933C39">
        <w:rPr>
          <w:rFonts w:ascii="Times New Roman" w:hAnsi="Times New Roman" w:cs="Times New Roman"/>
          <w:sz w:val="24"/>
          <w:szCs w:val="24"/>
          <w:shd w:val="clear" w:color="auto" w:fill="FFFFFF"/>
        </w:rPr>
        <w:t xml:space="preserve">. </w:t>
      </w:r>
      <w:r w:rsidR="00EF1A61" w:rsidRPr="00933C39">
        <w:rPr>
          <w:rFonts w:ascii="Times New Roman" w:hAnsi="Times New Roman" w:cs="Times New Roman"/>
          <w:sz w:val="24"/>
          <w:szCs w:val="24"/>
          <w:shd w:val="clear" w:color="auto" w:fill="FFFFFF"/>
        </w:rPr>
        <w:t xml:space="preserve">De acordo </w:t>
      </w:r>
      <w:r w:rsidR="00933C39" w:rsidRPr="00933C39">
        <w:rPr>
          <w:rFonts w:ascii="Times New Roman" w:hAnsi="Times New Roman" w:cs="Times New Roman"/>
          <w:sz w:val="24"/>
          <w:szCs w:val="24"/>
          <w:shd w:val="clear" w:color="auto" w:fill="FFFFFF"/>
        </w:rPr>
        <w:t xml:space="preserve">com Andrade </w:t>
      </w:r>
      <w:r w:rsidR="00933C39">
        <w:rPr>
          <w:rFonts w:ascii="Times New Roman" w:hAnsi="Times New Roman" w:cs="Times New Roman"/>
          <w:sz w:val="24"/>
          <w:szCs w:val="24"/>
          <w:shd w:val="clear" w:color="auto" w:fill="FFFFFF"/>
        </w:rPr>
        <w:t>(</w:t>
      </w:r>
      <w:r w:rsidR="00933C39" w:rsidRPr="00933C39">
        <w:rPr>
          <w:rFonts w:ascii="Times New Roman" w:hAnsi="Times New Roman" w:cs="Times New Roman"/>
          <w:sz w:val="24"/>
          <w:szCs w:val="24"/>
          <w:shd w:val="clear" w:color="auto" w:fill="FFFFFF"/>
        </w:rPr>
        <w:t>2021</w:t>
      </w:r>
      <w:r w:rsidR="00933C39">
        <w:rPr>
          <w:rFonts w:ascii="Times New Roman" w:hAnsi="Times New Roman" w:cs="Times New Roman"/>
          <w:sz w:val="24"/>
          <w:szCs w:val="24"/>
          <w:shd w:val="clear" w:color="auto" w:fill="FFFFFF"/>
        </w:rPr>
        <w:t>),</w:t>
      </w:r>
      <w:r w:rsidR="00933C39" w:rsidRPr="00933C39">
        <w:rPr>
          <w:rFonts w:ascii="Times New Roman" w:hAnsi="Times New Roman" w:cs="Times New Roman"/>
          <w:sz w:val="24"/>
          <w:szCs w:val="24"/>
          <w:shd w:val="clear" w:color="auto" w:fill="FFFFFF"/>
        </w:rPr>
        <w:t xml:space="preserve"> a recuperação rápida do</w:t>
      </w:r>
      <w:r w:rsidR="00EF1A61" w:rsidRPr="00933C39">
        <w:rPr>
          <w:rFonts w:ascii="Times New Roman" w:hAnsi="Times New Roman" w:cs="Times New Roman"/>
          <w:sz w:val="24"/>
          <w:szCs w:val="24"/>
        </w:rPr>
        <w:t xml:space="preserve"> segmento </w:t>
      </w:r>
      <w:r w:rsidR="00933C39" w:rsidRPr="00933C39">
        <w:rPr>
          <w:rFonts w:ascii="Times New Roman" w:hAnsi="Times New Roman" w:cs="Times New Roman"/>
          <w:sz w:val="24"/>
          <w:szCs w:val="24"/>
        </w:rPr>
        <w:t xml:space="preserve">e se dá </w:t>
      </w:r>
      <w:r w:rsidR="00933C39">
        <w:rPr>
          <w:rFonts w:ascii="Times New Roman" w:hAnsi="Times New Roman" w:cs="Times New Roman"/>
          <w:sz w:val="24"/>
          <w:szCs w:val="24"/>
        </w:rPr>
        <w:t xml:space="preserve">já </w:t>
      </w:r>
      <w:r w:rsidR="00EF1A61" w:rsidRPr="00933C39">
        <w:rPr>
          <w:rFonts w:ascii="Times New Roman" w:hAnsi="Times New Roman" w:cs="Times New Roman"/>
          <w:sz w:val="24"/>
          <w:szCs w:val="24"/>
        </w:rPr>
        <w:t xml:space="preserve">nos períodos de 2019 e 2020, </w:t>
      </w:r>
      <w:r w:rsidR="00933C39" w:rsidRPr="00933C39">
        <w:rPr>
          <w:rFonts w:ascii="Times New Roman" w:hAnsi="Times New Roman" w:cs="Times New Roman"/>
          <w:sz w:val="24"/>
          <w:szCs w:val="24"/>
        </w:rPr>
        <w:t>onde</w:t>
      </w:r>
      <w:r w:rsidR="00EF1A61" w:rsidRPr="00933C39">
        <w:rPr>
          <w:rFonts w:ascii="Times New Roman" w:hAnsi="Times New Roman" w:cs="Times New Roman"/>
          <w:sz w:val="24"/>
          <w:szCs w:val="24"/>
        </w:rPr>
        <w:t xml:space="preserve"> </w:t>
      </w:r>
      <w:r w:rsidR="00933C39" w:rsidRPr="00933C39">
        <w:rPr>
          <w:rFonts w:ascii="Times New Roman" w:hAnsi="Times New Roman" w:cs="Times New Roman"/>
          <w:sz w:val="24"/>
          <w:szCs w:val="24"/>
        </w:rPr>
        <w:t>a</w:t>
      </w:r>
      <w:r w:rsidR="00933C39">
        <w:rPr>
          <w:rFonts w:ascii="Times New Roman" w:hAnsi="Times New Roman" w:cs="Times New Roman"/>
          <w:sz w:val="24"/>
          <w:szCs w:val="24"/>
        </w:rPr>
        <w:t xml:space="preserve"> maioria das empresas</w:t>
      </w:r>
      <w:r w:rsidR="00933C39" w:rsidRPr="00933C39">
        <w:rPr>
          <w:rFonts w:ascii="Times New Roman" w:hAnsi="Times New Roman" w:cs="Times New Roman"/>
          <w:sz w:val="24"/>
          <w:szCs w:val="24"/>
        </w:rPr>
        <w:t xml:space="preserve"> apresent</w:t>
      </w:r>
      <w:r w:rsidR="00933C39">
        <w:rPr>
          <w:rFonts w:ascii="Times New Roman" w:hAnsi="Times New Roman" w:cs="Times New Roman"/>
          <w:sz w:val="24"/>
          <w:szCs w:val="24"/>
        </w:rPr>
        <w:t>aram</w:t>
      </w:r>
      <w:r w:rsidR="00EF1A61" w:rsidRPr="00933C39">
        <w:rPr>
          <w:rFonts w:ascii="Times New Roman" w:hAnsi="Times New Roman" w:cs="Times New Roman"/>
          <w:sz w:val="24"/>
          <w:szCs w:val="24"/>
        </w:rPr>
        <w:t xml:space="preserve"> evolução em seus indicadores de liquidez, endividamento e rentabilidade, e </w:t>
      </w:r>
      <w:r w:rsidR="00365625">
        <w:rPr>
          <w:rFonts w:ascii="Times New Roman" w:hAnsi="Times New Roman" w:cs="Times New Roman"/>
          <w:sz w:val="24"/>
          <w:szCs w:val="24"/>
        </w:rPr>
        <w:t>consequentemente</w:t>
      </w:r>
      <w:r w:rsidR="00933C39">
        <w:rPr>
          <w:rFonts w:ascii="Times New Roman" w:hAnsi="Times New Roman" w:cs="Times New Roman"/>
          <w:sz w:val="24"/>
          <w:szCs w:val="24"/>
        </w:rPr>
        <w:t xml:space="preserve"> </w:t>
      </w:r>
      <w:r w:rsidR="00EF1A61" w:rsidRPr="00933C39">
        <w:rPr>
          <w:rFonts w:ascii="Times New Roman" w:hAnsi="Times New Roman" w:cs="Times New Roman"/>
          <w:sz w:val="24"/>
          <w:szCs w:val="24"/>
        </w:rPr>
        <w:t>mostraram bons resultados</w:t>
      </w:r>
      <w:r w:rsidR="00365625">
        <w:rPr>
          <w:rFonts w:ascii="Times New Roman" w:hAnsi="Times New Roman" w:cs="Times New Roman"/>
          <w:sz w:val="24"/>
          <w:szCs w:val="24"/>
        </w:rPr>
        <w:t xml:space="preserve"> </w:t>
      </w:r>
      <w:proofErr w:type="gramStart"/>
      <w:r w:rsidR="00365625">
        <w:rPr>
          <w:rFonts w:ascii="Times New Roman" w:hAnsi="Times New Roman" w:cs="Times New Roman"/>
          <w:sz w:val="24"/>
          <w:szCs w:val="24"/>
        </w:rPr>
        <w:t>do seus investimentos</w:t>
      </w:r>
      <w:proofErr w:type="gramEnd"/>
      <w:r w:rsidR="00EF1A61" w:rsidRPr="00933C39">
        <w:rPr>
          <w:rFonts w:ascii="Times New Roman" w:hAnsi="Times New Roman" w:cs="Times New Roman"/>
          <w:sz w:val="24"/>
          <w:szCs w:val="24"/>
        </w:rPr>
        <w:t xml:space="preserve"> apes</w:t>
      </w:r>
      <w:r w:rsidR="00933C39">
        <w:rPr>
          <w:rFonts w:ascii="Times New Roman" w:hAnsi="Times New Roman" w:cs="Times New Roman"/>
          <w:sz w:val="24"/>
          <w:szCs w:val="24"/>
        </w:rPr>
        <w:t>ar das dificuldades encontradas.</w:t>
      </w:r>
    </w:p>
    <w:p w14:paraId="38B3FD67" w14:textId="08EB31DA" w:rsidR="001B1174" w:rsidRPr="002F68A0" w:rsidRDefault="001B1174" w:rsidP="00377E23">
      <w:pPr>
        <w:shd w:val="clear" w:color="auto" w:fill="FFFFFF"/>
        <w:spacing w:after="0" w:line="360" w:lineRule="auto"/>
        <w:ind w:firstLine="720"/>
        <w:contextualSpacing/>
        <w:jc w:val="both"/>
        <w:rPr>
          <w:rFonts w:ascii="Times New Roman" w:eastAsia="Times New Roman" w:hAnsi="Times New Roman" w:cs="Times New Roman"/>
          <w:sz w:val="24"/>
          <w:szCs w:val="24"/>
        </w:rPr>
      </w:pPr>
      <w:r w:rsidRPr="00933C39">
        <w:rPr>
          <w:rFonts w:ascii="Times New Roman" w:hAnsi="Times New Roman" w:cs="Times New Roman"/>
          <w:sz w:val="24"/>
          <w:szCs w:val="24"/>
          <w:shd w:val="clear" w:color="auto" w:fill="FFFFFF"/>
        </w:rPr>
        <w:t>O serviço industrial de utilidade pública com uma energia e saneamento mantiveram</w:t>
      </w:r>
      <w:r w:rsidRPr="002F68A0">
        <w:rPr>
          <w:rFonts w:ascii="Times New Roman" w:hAnsi="Times New Roman" w:cs="Times New Roman"/>
          <w:sz w:val="24"/>
          <w:szCs w:val="24"/>
          <w:shd w:val="clear" w:color="auto" w:fill="FFFFFF"/>
        </w:rPr>
        <w:t xml:space="preserve"> participação estável em torno de 10%, enquanto a extrativa mineral teve presença residual abaixo de 5%, destacando a limitada exploração de recursos minerais no estado. A trajetória geral indica uma estrutura industrial concentrada e pouco diversificada, com desafios para ampliar a complexidade produtiva e reduzir a dependência da transformação industrial tradicional</w:t>
      </w:r>
      <w:r w:rsidR="0002784E">
        <w:rPr>
          <w:rFonts w:ascii="Times New Roman" w:hAnsi="Times New Roman" w:cs="Times New Roman"/>
          <w:sz w:val="24"/>
          <w:szCs w:val="24"/>
          <w:shd w:val="clear" w:color="auto" w:fill="FFFFFF"/>
        </w:rPr>
        <w:t xml:space="preserve"> (figura 8</w:t>
      </w:r>
      <w:r w:rsidR="0017638A">
        <w:rPr>
          <w:rFonts w:ascii="Times New Roman" w:hAnsi="Times New Roman" w:cs="Times New Roman"/>
          <w:sz w:val="24"/>
          <w:szCs w:val="24"/>
          <w:shd w:val="clear" w:color="auto" w:fill="FFFFFF"/>
        </w:rPr>
        <w:t>)</w:t>
      </w:r>
      <w:r w:rsidRPr="002F68A0">
        <w:rPr>
          <w:rFonts w:ascii="Times New Roman" w:hAnsi="Times New Roman" w:cs="Times New Roman"/>
          <w:sz w:val="24"/>
          <w:szCs w:val="24"/>
          <w:shd w:val="clear" w:color="auto" w:fill="FFFFFF"/>
        </w:rPr>
        <w:t>.</w:t>
      </w:r>
    </w:p>
    <w:p w14:paraId="6C0D3D0B" w14:textId="77777777" w:rsidR="001B1174" w:rsidRPr="002F68A0" w:rsidRDefault="001B1174" w:rsidP="00377E23">
      <w:pPr>
        <w:shd w:val="clear" w:color="auto" w:fill="FFFFFF"/>
        <w:spacing w:after="0" w:line="360" w:lineRule="auto"/>
        <w:contextualSpacing/>
        <w:jc w:val="both"/>
        <w:rPr>
          <w:rFonts w:ascii="Times New Roman" w:eastAsia="Times New Roman" w:hAnsi="Times New Roman" w:cs="Times New Roman"/>
          <w:sz w:val="24"/>
          <w:szCs w:val="24"/>
        </w:rPr>
      </w:pPr>
    </w:p>
    <w:p w14:paraId="52EBCD06" w14:textId="367A43C8" w:rsidR="001B1174" w:rsidRPr="002F68A0" w:rsidRDefault="001B1174" w:rsidP="00377E23">
      <w:pPr>
        <w:shd w:val="clear" w:color="auto" w:fill="FFFFFF"/>
        <w:spacing w:after="0" w:line="36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 xml:space="preserve">Figura </w:t>
      </w:r>
      <w:r w:rsidR="0002784E">
        <w:rPr>
          <w:rFonts w:ascii="Times New Roman" w:eastAsia="Times New Roman" w:hAnsi="Times New Roman" w:cs="Times New Roman"/>
          <w:sz w:val="24"/>
          <w:szCs w:val="24"/>
        </w:rPr>
        <w:t>8</w:t>
      </w:r>
      <w:r w:rsidRPr="002F68A0">
        <w:rPr>
          <w:rFonts w:ascii="Times New Roman" w:eastAsia="Times New Roman" w:hAnsi="Times New Roman" w:cs="Times New Roman"/>
          <w:sz w:val="24"/>
          <w:szCs w:val="24"/>
        </w:rPr>
        <w:t xml:space="preserve"> - Percentual de estabelecimentos por setor econômico da </w:t>
      </w:r>
      <w:r w:rsidR="005342DC">
        <w:rPr>
          <w:rFonts w:ascii="Times New Roman" w:eastAsia="Times New Roman" w:hAnsi="Times New Roman" w:cs="Times New Roman"/>
          <w:sz w:val="24"/>
          <w:szCs w:val="24"/>
        </w:rPr>
        <w:t>Paraíba</w:t>
      </w:r>
      <w:r w:rsidRPr="002F68A0">
        <w:rPr>
          <w:rFonts w:ascii="Times New Roman" w:eastAsia="Times New Roman" w:hAnsi="Times New Roman" w:cs="Times New Roman"/>
          <w:sz w:val="24"/>
          <w:szCs w:val="24"/>
        </w:rPr>
        <w:t>, 2016-2020</w:t>
      </w:r>
    </w:p>
    <w:p w14:paraId="3B254D1A" w14:textId="77777777" w:rsidR="001B1174" w:rsidRPr="002F68A0" w:rsidRDefault="001B1174" w:rsidP="00377E23">
      <w:pPr>
        <w:shd w:val="clear" w:color="auto" w:fill="FFFFFF"/>
        <w:spacing w:after="0" w:line="360" w:lineRule="auto"/>
        <w:contextualSpacing/>
        <w:jc w:val="both"/>
        <w:rPr>
          <w:rFonts w:ascii="Times New Roman" w:eastAsia="Times New Roman" w:hAnsi="Times New Roman" w:cs="Times New Roman"/>
          <w:sz w:val="24"/>
          <w:szCs w:val="24"/>
        </w:rPr>
      </w:pPr>
      <w:r w:rsidRPr="002F68A0">
        <w:rPr>
          <w:rFonts w:ascii="Times New Roman" w:hAnsi="Times New Roman" w:cs="Times New Roman"/>
          <w:noProof/>
          <w:sz w:val="24"/>
          <w:szCs w:val="24"/>
          <w:lang w:eastAsia="pt-BR"/>
        </w:rPr>
        <w:drawing>
          <wp:inline distT="0" distB="0" distL="0" distR="0" wp14:anchorId="32F71FC6" wp14:editId="53B3B002">
            <wp:extent cx="5760085" cy="3956685"/>
            <wp:effectExtent l="0" t="0" r="12065" b="571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0BA3D5" w14:textId="77777777" w:rsidR="001B1174" w:rsidRDefault="001B1174" w:rsidP="00377E23">
      <w:pPr>
        <w:shd w:val="clear" w:color="auto" w:fill="FFFFFF"/>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Fonte: RAIS/CAGED, 2016-2022</w:t>
      </w:r>
    </w:p>
    <w:p w14:paraId="6D90E900" w14:textId="77777777" w:rsidR="00740750" w:rsidRPr="002F68A0" w:rsidRDefault="00740750" w:rsidP="00377E23">
      <w:pPr>
        <w:shd w:val="clear" w:color="auto" w:fill="FFFFFF"/>
        <w:spacing w:after="0" w:line="240" w:lineRule="auto"/>
        <w:contextualSpacing/>
        <w:jc w:val="both"/>
        <w:rPr>
          <w:rFonts w:ascii="Times New Roman" w:eastAsia="Times New Roman" w:hAnsi="Times New Roman" w:cs="Times New Roman"/>
          <w:sz w:val="24"/>
          <w:szCs w:val="24"/>
        </w:rPr>
      </w:pPr>
    </w:p>
    <w:p w14:paraId="4176370A" w14:textId="5C5DAF7E" w:rsidR="001B1174" w:rsidRPr="002F68A0" w:rsidRDefault="001B1174" w:rsidP="00377E23">
      <w:pPr>
        <w:shd w:val="clear" w:color="auto" w:fill="FFFFFF"/>
        <w:spacing w:after="0" w:line="360" w:lineRule="auto"/>
        <w:ind w:firstLine="720"/>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lastRenderedPageBreak/>
        <w:t xml:space="preserve">Entre 2016 e 2022, o emprego formal na indústria da </w:t>
      </w:r>
      <w:r w:rsidR="005342DC">
        <w:rPr>
          <w:rFonts w:ascii="Times New Roman" w:eastAsia="Times New Roman" w:hAnsi="Times New Roman" w:cs="Times New Roman"/>
          <w:sz w:val="24"/>
          <w:szCs w:val="24"/>
        </w:rPr>
        <w:t>Paraíba</w:t>
      </w:r>
      <w:r w:rsidRPr="002F68A0">
        <w:rPr>
          <w:rFonts w:ascii="Times New Roman" w:eastAsia="Times New Roman" w:hAnsi="Times New Roman" w:cs="Times New Roman"/>
          <w:sz w:val="24"/>
          <w:szCs w:val="24"/>
        </w:rPr>
        <w:t xml:space="preserve"> seguiu uma trajetória semelhante ao nordeste</w:t>
      </w:r>
      <w:r w:rsidR="00075740">
        <w:rPr>
          <w:rFonts w:ascii="Times New Roman" w:eastAsia="Times New Roman" w:hAnsi="Times New Roman" w:cs="Times New Roman"/>
          <w:sz w:val="24"/>
          <w:szCs w:val="24"/>
        </w:rPr>
        <w:t xml:space="preserve"> (Tabela 5)</w:t>
      </w:r>
      <w:r w:rsidRPr="002F68A0">
        <w:rPr>
          <w:rFonts w:ascii="Times New Roman" w:eastAsia="Times New Roman" w:hAnsi="Times New Roman" w:cs="Times New Roman"/>
          <w:sz w:val="24"/>
          <w:szCs w:val="24"/>
        </w:rPr>
        <w:t xml:space="preserve">, mas com variações mais acentuadas. Inicialmente ambos apresentaram queda: a </w:t>
      </w:r>
      <w:r w:rsidR="005342DC">
        <w:rPr>
          <w:rFonts w:ascii="Times New Roman" w:eastAsia="Times New Roman" w:hAnsi="Times New Roman" w:cs="Times New Roman"/>
          <w:sz w:val="24"/>
          <w:szCs w:val="24"/>
        </w:rPr>
        <w:t>Paraíba</w:t>
      </w:r>
      <w:r w:rsidRPr="002F68A0">
        <w:rPr>
          <w:rFonts w:ascii="Times New Roman" w:eastAsia="Times New Roman" w:hAnsi="Times New Roman" w:cs="Times New Roman"/>
          <w:sz w:val="24"/>
          <w:szCs w:val="24"/>
        </w:rPr>
        <w:t xml:space="preserve"> perdeu 4,4% dos postos em 2017, enquanto nordeste recuou 1,92%. A retração continuou até 2019 com a </w:t>
      </w:r>
      <w:r w:rsidR="005342DC">
        <w:rPr>
          <w:rFonts w:ascii="Times New Roman" w:eastAsia="Times New Roman" w:hAnsi="Times New Roman" w:cs="Times New Roman"/>
          <w:sz w:val="24"/>
          <w:szCs w:val="24"/>
        </w:rPr>
        <w:t>Paraíba</w:t>
      </w:r>
      <w:r w:rsidRPr="002F68A0">
        <w:rPr>
          <w:rFonts w:ascii="Times New Roman" w:eastAsia="Times New Roman" w:hAnsi="Times New Roman" w:cs="Times New Roman"/>
          <w:sz w:val="24"/>
          <w:szCs w:val="24"/>
        </w:rPr>
        <w:t xml:space="preserve"> acumulando a redução de 8,3% nesse período, contra 2,1% no Nordeste, refletindo crises econômicas e menor resiliência do mercado de trabalho local. </w:t>
      </w:r>
    </w:p>
    <w:p w14:paraId="6F2A55AB" w14:textId="43E84C93" w:rsidR="001B1174" w:rsidRPr="00365625" w:rsidRDefault="001B1174" w:rsidP="00377E23">
      <w:pPr>
        <w:shd w:val="clear" w:color="auto" w:fill="FFFFFF"/>
        <w:spacing w:after="0" w:line="360" w:lineRule="auto"/>
        <w:ind w:firstLine="720"/>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A</w:t>
      </w:r>
      <w:r w:rsidR="00365625">
        <w:rPr>
          <w:rFonts w:ascii="Times New Roman" w:eastAsia="Times New Roman" w:hAnsi="Times New Roman" w:cs="Times New Roman"/>
          <w:sz w:val="24"/>
          <w:szCs w:val="24"/>
        </w:rPr>
        <w:t xml:space="preserve"> recuperação</w:t>
      </w:r>
      <w:r w:rsidRPr="002F68A0">
        <w:rPr>
          <w:rFonts w:ascii="Times New Roman" w:eastAsia="Times New Roman" w:hAnsi="Times New Roman" w:cs="Times New Roman"/>
          <w:sz w:val="24"/>
          <w:szCs w:val="24"/>
        </w:rPr>
        <w:t xml:space="preserve"> ocorreu em 2020, quando a </w:t>
      </w:r>
      <w:r w:rsidR="005342DC">
        <w:rPr>
          <w:rFonts w:ascii="Times New Roman" w:eastAsia="Times New Roman" w:hAnsi="Times New Roman" w:cs="Times New Roman"/>
          <w:sz w:val="24"/>
          <w:szCs w:val="24"/>
        </w:rPr>
        <w:t>Paraíba</w:t>
      </w:r>
      <w:r w:rsidRPr="002F68A0">
        <w:rPr>
          <w:rFonts w:ascii="Times New Roman" w:eastAsia="Times New Roman" w:hAnsi="Times New Roman" w:cs="Times New Roman"/>
          <w:sz w:val="24"/>
          <w:szCs w:val="24"/>
        </w:rPr>
        <w:t xml:space="preserve"> registrou o crescimento de 1,54%, superando o Nordeste 0,51%, possivelmente devido às políticas estaduais de incentivo fiscal ou a recuperação de setores chaves nos anos seguintes pontos ambos aceleraram: em 2021 a </w:t>
      </w:r>
      <w:r w:rsidR="005342DC" w:rsidRPr="00365625">
        <w:rPr>
          <w:rFonts w:ascii="Times New Roman" w:eastAsia="Times New Roman" w:hAnsi="Times New Roman" w:cs="Times New Roman"/>
          <w:sz w:val="24"/>
          <w:szCs w:val="24"/>
        </w:rPr>
        <w:t>Paraíba</w:t>
      </w:r>
      <w:r w:rsidRPr="00365625">
        <w:rPr>
          <w:rFonts w:ascii="Times New Roman" w:eastAsia="Times New Roman" w:hAnsi="Times New Roman" w:cs="Times New Roman"/>
          <w:sz w:val="24"/>
          <w:szCs w:val="24"/>
        </w:rPr>
        <w:t xml:space="preserve"> cresceu 5,8% e em 2022 atingiu 7,6%, abaixo dos 8,81% regionais</w:t>
      </w:r>
      <w:r w:rsidR="00365625" w:rsidRPr="00365625">
        <w:rPr>
          <w:rFonts w:ascii="Times New Roman" w:eastAsia="Times New Roman" w:hAnsi="Times New Roman" w:cs="Times New Roman"/>
          <w:sz w:val="24"/>
          <w:szCs w:val="24"/>
        </w:rPr>
        <w:t>.</w:t>
      </w:r>
    </w:p>
    <w:p w14:paraId="722EBE1A" w14:textId="7EDAF358" w:rsidR="00365625" w:rsidRPr="00365625" w:rsidRDefault="00365625" w:rsidP="00377E23">
      <w:pPr>
        <w:shd w:val="clear" w:color="auto" w:fill="FFFFFF"/>
        <w:spacing w:after="0" w:line="360" w:lineRule="auto"/>
        <w:ind w:firstLine="720"/>
        <w:contextualSpacing/>
        <w:jc w:val="both"/>
        <w:rPr>
          <w:rFonts w:ascii="Times New Roman" w:eastAsia="Times New Roman" w:hAnsi="Times New Roman" w:cs="Times New Roman"/>
          <w:sz w:val="24"/>
          <w:szCs w:val="24"/>
        </w:rPr>
      </w:pPr>
      <w:r w:rsidRPr="00365625">
        <w:rPr>
          <w:rFonts w:ascii="Times New Roman" w:hAnsi="Times New Roman" w:cs="Times New Roman"/>
          <w:sz w:val="24"/>
          <w:szCs w:val="24"/>
        </w:rPr>
        <w:t>Apesar da recuperação, a Paraíba encerrou o período (2022) com apenas 6% de crescimento no número de empregos em relação a 2016, enquanto o Nordeste como um todo avançou 12,6% (2016-2022). Isso indica que o estado ainda enfrenta desafios para acompanhar o dinamismo regional. A trajetória, no entanto, sugere que, após perdas significativas, a indústria paraibana retomou o crescimento, embora ainda careça de estratégias mais eficazes para consolidar essa tendência.</w:t>
      </w:r>
    </w:p>
    <w:p w14:paraId="261BD348" w14:textId="77777777" w:rsidR="001B1174" w:rsidRPr="002F68A0" w:rsidRDefault="001B1174" w:rsidP="00377E23">
      <w:pPr>
        <w:shd w:val="clear" w:color="auto" w:fill="FFFFFF"/>
        <w:spacing w:after="0" w:line="360" w:lineRule="auto"/>
        <w:contextualSpacing/>
        <w:jc w:val="both"/>
        <w:rPr>
          <w:rFonts w:ascii="Times New Roman" w:eastAsia="Times New Roman" w:hAnsi="Times New Roman" w:cs="Times New Roman"/>
          <w:sz w:val="24"/>
          <w:szCs w:val="24"/>
        </w:rPr>
      </w:pPr>
    </w:p>
    <w:p w14:paraId="14852CF4" w14:textId="5846EE3A" w:rsidR="001B1174" w:rsidRPr="002F68A0" w:rsidRDefault="001B1174" w:rsidP="00377E23">
      <w:pPr>
        <w:shd w:val="clear" w:color="auto" w:fill="FFFFFF"/>
        <w:spacing w:after="0" w:line="240" w:lineRule="auto"/>
        <w:ind w:left="1276" w:hanging="1276"/>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 xml:space="preserve">Tabela 5 - Distribuição e variação percentual dos empregos nas unidades Industriais do </w:t>
      </w:r>
      <w:r w:rsidR="005A6271">
        <w:rPr>
          <w:rFonts w:ascii="Times New Roman" w:eastAsia="Times New Roman" w:hAnsi="Times New Roman" w:cs="Times New Roman"/>
          <w:sz w:val="24"/>
          <w:szCs w:val="24"/>
        </w:rPr>
        <w:t xml:space="preserve">Nordeste e da </w:t>
      </w:r>
      <w:r w:rsidR="005342DC">
        <w:rPr>
          <w:rFonts w:ascii="Times New Roman" w:eastAsia="Times New Roman" w:hAnsi="Times New Roman" w:cs="Times New Roman"/>
          <w:sz w:val="24"/>
          <w:szCs w:val="24"/>
        </w:rPr>
        <w:t>Paraíba</w:t>
      </w:r>
      <w:r w:rsidR="005A6271">
        <w:rPr>
          <w:rFonts w:ascii="Times New Roman" w:eastAsia="Times New Roman" w:hAnsi="Times New Roman" w:cs="Times New Roman"/>
          <w:sz w:val="24"/>
          <w:szCs w:val="24"/>
        </w:rPr>
        <w:t>, 2016-2022</w:t>
      </w:r>
    </w:p>
    <w:tbl>
      <w:tblPr>
        <w:tblW w:w="5000" w:type="pct"/>
        <w:jc w:val="center"/>
        <w:tblCellMar>
          <w:left w:w="70" w:type="dxa"/>
          <w:right w:w="70" w:type="dxa"/>
        </w:tblCellMar>
        <w:tblLook w:val="04A0" w:firstRow="1" w:lastRow="0" w:firstColumn="1" w:lastColumn="0" w:noHBand="0" w:noVBand="1"/>
      </w:tblPr>
      <w:tblGrid>
        <w:gridCol w:w="1027"/>
        <w:gridCol w:w="1431"/>
        <w:gridCol w:w="2315"/>
        <w:gridCol w:w="1711"/>
        <w:gridCol w:w="2587"/>
      </w:tblGrid>
      <w:tr w:rsidR="001B1174" w:rsidRPr="002F68A0" w14:paraId="58C64CF3" w14:textId="77777777" w:rsidTr="00CD321E">
        <w:trPr>
          <w:trHeight w:val="315"/>
          <w:jc w:val="center"/>
        </w:trPr>
        <w:tc>
          <w:tcPr>
            <w:tcW w:w="566" w:type="pct"/>
            <w:tcBorders>
              <w:top w:val="single" w:sz="4" w:space="0" w:color="auto"/>
              <w:bottom w:val="single" w:sz="4" w:space="0" w:color="auto"/>
              <w:right w:val="single" w:sz="4" w:space="0" w:color="auto"/>
            </w:tcBorders>
            <w:noWrap/>
            <w:hideMark/>
          </w:tcPr>
          <w:p w14:paraId="541A3E2B"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Ano</w:t>
            </w:r>
          </w:p>
        </w:tc>
        <w:tc>
          <w:tcPr>
            <w:tcW w:w="789" w:type="pct"/>
            <w:tcBorders>
              <w:top w:val="single" w:sz="4" w:space="0" w:color="auto"/>
              <w:left w:val="single" w:sz="4" w:space="0" w:color="auto"/>
              <w:bottom w:val="single" w:sz="4" w:space="0" w:color="auto"/>
              <w:right w:val="single" w:sz="4" w:space="0" w:color="auto"/>
            </w:tcBorders>
            <w:noWrap/>
            <w:hideMark/>
          </w:tcPr>
          <w:p w14:paraId="0DCFD3F0" w14:textId="64B4B301" w:rsidR="001B1174" w:rsidRPr="002F68A0" w:rsidRDefault="005342DC" w:rsidP="00377E23">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Paraíba</w:t>
            </w:r>
          </w:p>
        </w:tc>
        <w:tc>
          <w:tcPr>
            <w:tcW w:w="1276" w:type="pct"/>
            <w:tcBorders>
              <w:top w:val="single" w:sz="4" w:space="0" w:color="auto"/>
              <w:left w:val="single" w:sz="4" w:space="0" w:color="auto"/>
              <w:bottom w:val="single" w:sz="4" w:space="0" w:color="auto"/>
              <w:right w:val="single" w:sz="4" w:space="0" w:color="auto"/>
            </w:tcBorders>
            <w:vAlign w:val="center"/>
            <w:hideMark/>
          </w:tcPr>
          <w:p w14:paraId="79024945" w14:textId="654AD6C0" w:rsidR="001B1174" w:rsidRPr="002F68A0" w:rsidRDefault="005342DC" w:rsidP="00377E23">
            <w:pPr>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Paraíba</w:t>
            </w:r>
            <w:r w:rsidR="001B1174" w:rsidRPr="002F68A0">
              <w:rPr>
                <w:rFonts w:ascii="Times New Roman" w:eastAsia="Times New Roman" w:hAnsi="Times New Roman" w:cs="Times New Roman"/>
                <w:bCs/>
                <w:sz w:val="24"/>
                <w:szCs w:val="24"/>
              </w:rPr>
              <w:t xml:space="preserve"> (Δ%)</w:t>
            </w:r>
          </w:p>
        </w:tc>
        <w:tc>
          <w:tcPr>
            <w:tcW w:w="943" w:type="pct"/>
            <w:tcBorders>
              <w:top w:val="single" w:sz="4" w:space="0" w:color="auto"/>
              <w:left w:val="single" w:sz="4" w:space="0" w:color="auto"/>
              <w:bottom w:val="single" w:sz="4" w:space="0" w:color="auto"/>
              <w:right w:val="single" w:sz="4" w:space="0" w:color="auto"/>
            </w:tcBorders>
            <w:noWrap/>
            <w:hideMark/>
          </w:tcPr>
          <w:p w14:paraId="67C1C6E9"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Nordeste</w:t>
            </w:r>
          </w:p>
        </w:tc>
        <w:tc>
          <w:tcPr>
            <w:tcW w:w="1426" w:type="pct"/>
            <w:tcBorders>
              <w:top w:val="single" w:sz="4" w:space="0" w:color="auto"/>
              <w:left w:val="single" w:sz="4" w:space="0" w:color="auto"/>
              <w:bottom w:val="single" w:sz="4" w:space="0" w:color="auto"/>
            </w:tcBorders>
            <w:vAlign w:val="center"/>
            <w:hideMark/>
          </w:tcPr>
          <w:p w14:paraId="0FF8D9C0" w14:textId="77777777" w:rsidR="001B1174" w:rsidRPr="002F68A0" w:rsidRDefault="001B1174" w:rsidP="00377E23">
            <w:pPr>
              <w:spacing w:after="0" w:line="240" w:lineRule="auto"/>
              <w:contextualSpacing/>
              <w:jc w:val="center"/>
              <w:rPr>
                <w:rFonts w:ascii="Times New Roman" w:eastAsia="Times New Roman" w:hAnsi="Times New Roman" w:cs="Times New Roman"/>
                <w:bCs/>
                <w:sz w:val="24"/>
                <w:szCs w:val="24"/>
              </w:rPr>
            </w:pPr>
            <w:r w:rsidRPr="002F68A0">
              <w:rPr>
                <w:rFonts w:ascii="Times New Roman" w:eastAsia="Times New Roman" w:hAnsi="Times New Roman" w:cs="Times New Roman"/>
                <w:bCs/>
                <w:sz w:val="24"/>
                <w:szCs w:val="24"/>
              </w:rPr>
              <w:t>Nordeste (Δ%)</w:t>
            </w:r>
          </w:p>
        </w:tc>
      </w:tr>
      <w:tr w:rsidR="001B1174" w:rsidRPr="002F68A0" w14:paraId="2686C907" w14:textId="77777777" w:rsidTr="00CD321E">
        <w:trPr>
          <w:trHeight w:val="315"/>
          <w:jc w:val="center"/>
        </w:trPr>
        <w:tc>
          <w:tcPr>
            <w:tcW w:w="566" w:type="pct"/>
            <w:tcBorders>
              <w:top w:val="single" w:sz="4" w:space="0" w:color="auto"/>
            </w:tcBorders>
            <w:noWrap/>
            <w:hideMark/>
          </w:tcPr>
          <w:p w14:paraId="4A82FAF1"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2016</w:t>
            </w:r>
          </w:p>
        </w:tc>
        <w:tc>
          <w:tcPr>
            <w:tcW w:w="789" w:type="pct"/>
            <w:tcBorders>
              <w:top w:val="single" w:sz="4" w:space="0" w:color="auto"/>
            </w:tcBorders>
            <w:shd w:val="clear" w:color="000000" w:fill="FFFFFF"/>
            <w:hideMark/>
          </w:tcPr>
          <w:p w14:paraId="1DE1C246"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79255</w:t>
            </w:r>
          </w:p>
        </w:tc>
        <w:tc>
          <w:tcPr>
            <w:tcW w:w="1276" w:type="pct"/>
            <w:tcBorders>
              <w:top w:val="single" w:sz="4" w:space="0" w:color="auto"/>
            </w:tcBorders>
            <w:noWrap/>
            <w:vAlign w:val="bottom"/>
            <w:hideMark/>
          </w:tcPr>
          <w:p w14:paraId="78E6BF48"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w:t>
            </w:r>
          </w:p>
        </w:tc>
        <w:tc>
          <w:tcPr>
            <w:tcW w:w="943" w:type="pct"/>
            <w:tcBorders>
              <w:top w:val="single" w:sz="4" w:space="0" w:color="auto"/>
            </w:tcBorders>
            <w:shd w:val="clear" w:color="000000" w:fill="FFFFFF"/>
            <w:hideMark/>
          </w:tcPr>
          <w:p w14:paraId="474534C7"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961029</w:t>
            </w:r>
          </w:p>
        </w:tc>
        <w:tc>
          <w:tcPr>
            <w:tcW w:w="1426" w:type="pct"/>
            <w:tcBorders>
              <w:top w:val="single" w:sz="4" w:space="0" w:color="auto"/>
            </w:tcBorders>
            <w:noWrap/>
            <w:vAlign w:val="bottom"/>
            <w:hideMark/>
          </w:tcPr>
          <w:p w14:paraId="45068771"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w:t>
            </w:r>
          </w:p>
        </w:tc>
      </w:tr>
      <w:tr w:rsidR="001B1174" w:rsidRPr="002F68A0" w14:paraId="09DA231E" w14:textId="77777777" w:rsidTr="00CD321E">
        <w:trPr>
          <w:trHeight w:val="315"/>
          <w:jc w:val="center"/>
        </w:trPr>
        <w:tc>
          <w:tcPr>
            <w:tcW w:w="566" w:type="pct"/>
            <w:noWrap/>
            <w:hideMark/>
          </w:tcPr>
          <w:p w14:paraId="1BDAD641"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2017</w:t>
            </w:r>
          </w:p>
        </w:tc>
        <w:tc>
          <w:tcPr>
            <w:tcW w:w="789" w:type="pct"/>
            <w:shd w:val="clear" w:color="000000" w:fill="FFFFFF"/>
            <w:hideMark/>
          </w:tcPr>
          <w:p w14:paraId="355A44BF"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75771</w:t>
            </w:r>
          </w:p>
        </w:tc>
        <w:tc>
          <w:tcPr>
            <w:tcW w:w="1276" w:type="pct"/>
            <w:vAlign w:val="center"/>
            <w:hideMark/>
          </w:tcPr>
          <w:p w14:paraId="630C11A6"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-4,40</w:t>
            </w:r>
          </w:p>
        </w:tc>
        <w:tc>
          <w:tcPr>
            <w:tcW w:w="943" w:type="pct"/>
            <w:shd w:val="clear" w:color="000000" w:fill="FFFFFF"/>
            <w:hideMark/>
          </w:tcPr>
          <w:p w14:paraId="610E0B55"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942551</w:t>
            </w:r>
          </w:p>
        </w:tc>
        <w:tc>
          <w:tcPr>
            <w:tcW w:w="1426" w:type="pct"/>
            <w:vAlign w:val="center"/>
            <w:hideMark/>
          </w:tcPr>
          <w:p w14:paraId="72D5A9A5"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-1,92</w:t>
            </w:r>
          </w:p>
        </w:tc>
      </w:tr>
      <w:tr w:rsidR="001B1174" w:rsidRPr="002F68A0" w14:paraId="00F2EB0D" w14:textId="77777777" w:rsidTr="00CD321E">
        <w:trPr>
          <w:trHeight w:val="315"/>
          <w:jc w:val="center"/>
        </w:trPr>
        <w:tc>
          <w:tcPr>
            <w:tcW w:w="566" w:type="pct"/>
            <w:noWrap/>
            <w:hideMark/>
          </w:tcPr>
          <w:p w14:paraId="1081F943"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2018</w:t>
            </w:r>
          </w:p>
        </w:tc>
        <w:tc>
          <w:tcPr>
            <w:tcW w:w="789" w:type="pct"/>
            <w:shd w:val="clear" w:color="000000" w:fill="FFFFFF"/>
            <w:hideMark/>
          </w:tcPr>
          <w:p w14:paraId="65443E21"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75518</w:t>
            </w:r>
          </w:p>
        </w:tc>
        <w:tc>
          <w:tcPr>
            <w:tcW w:w="1276" w:type="pct"/>
            <w:vAlign w:val="center"/>
            <w:hideMark/>
          </w:tcPr>
          <w:p w14:paraId="06105A13"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-0,33</w:t>
            </w:r>
          </w:p>
        </w:tc>
        <w:tc>
          <w:tcPr>
            <w:tcW w:w="943" w:type="pct"/>
            <w:shd w:val="clear" w:color="000000" w:fill="FFFFFF"/>
            <w:hideMark/>
          </w:tcPr>
          <w:p w14:paraId="3C5C3576"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946470</w:t>
            </w:r>
          </w:p>
        </w:tc>
        <w:tc>
          <w:tcPr>
            <w:tcW w:w="1426" w:type="pct"/>
            <w:vAlign w:val="center"/>
            <w:hideMark/>
          </w:tcPr>
          <w:p w14:paraId="387BD04D"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0,42</w:t>
            </w:r>
          </w:p>
        </w:tc>
      </w:tr>
      <w:tr w:rsidR="001B1174" w:rsidRPr="002F68A0" w14:paraId="5DD3916E" w14:textId="77777777" w:rsidTr="00CD321E">
        <w:trPr>
          <w:trHeight w:val="315"/>
          <w:jc w:val="center"/>
        </w:trPr>
        <w:tc>
          <w:tcPr>
            <w:tcW w:w="566" w:type="pct"/>
            <w:noWrap/>
            <w:hideMark/>
          </w:tcPr>
          <w:p w14:paraId="022FF35F"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2019</w:t>
            </w:r>
          </w:p>
        </w:tc>
        <w:tc>
          <w:tcPr>
            <w:tcW w:w="789" w:type="pct"/>
            <w:shd w:val="clear" w:color="000000" w:fill="FFFFFF"/>
            <w:hideMark/>
          </w:tcPr>
          <w:p w14:paraId="049825FC"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72686</w:t>
            </w:r>
          </w:p>
        </w:tc>
        <w:tc>
          <w:tcPr>
            <w:tcW w:w="1276" w:type="pct"/>
            <w:vAlign w:val="center"/>
            <w:hideMark/>
          </w:tcPr>
          <w:p w14:paraId="5BF5E270"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-3,75</w:t>
            </w:r>
          </w:p>
        </w:tc>
        <w:tc>
          <w:tcPr>
            <w:tcW w:w="943" w:type="pct"/>
            <w:shd w:val="clear" w:color="000000" w:fill="FFFFFF"/>
            <w:hideMark/>
          </w:tcPr>
          <w:p w14:paraId="02FCC27F"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940618</w:t>
            </w:r>
          </w:p>
        </w:tc>
        <w:tc>
          <w:tcPr>
            <w:tcW w:w="1426" w:type="pct"/>
            <w:vAlign w:val="center"/>
            <w:hideMark/>
          </w:tcPr>
          <w:p w14:paraId="35BE3A69"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-0,62</w:t>
            </w:r>
          </w:p>
        </w:tc>
      </w:tr>
      <w:tr w:rsidR="001B1174" w:rsidRPr="002F68A0" w14:paraId="7F237DA3" w14:textId="77777777" w:rsidTr="00CD321E">
        <w:trPr>
          <w:trHeight w:val="315"/>
          <w:jc w:val="center"/>
        </w:trPr>
        <w:tc>
          <w:tcPr>
            <w:tcW w:w="566" w:type="pct"/>
            <w:noWrap/>
            <w:hideMark/>
          </w:tcPr>
          <w:p w14:paraId="187F1E27"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2020</w:t>
            </w:r>
          </w:p>
        </w:tc>
        <w:tc>
          <w:tcPr>
            <w:tcW w:w="789" w:type="pct"/>
            <w:shd w:val="clear" w:color="000000" w:fill="FFFFFF"/>
            <w:hideMark/>
          </w:tcPr>
          <w:p w14:paraId="5FB474F0"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73806</w:t>
            </w:r>
          </w:p>
        </w:tc>
        <w:tc>
          <w:tcPr>
            <w:tcW w:w="1276" w:type="pct"/>
            <w:vAlign w:val="center"/>
            <w:hideMark/>
          </w:tcPr>
          <w:p w14:paraId="28F712ED"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1,54</w:t>
            </w:r>
          </w:p>
        </w:tc>
        <w:tc>
          <w:tcPr>
            <w:tcW w:w="943" w:type="pct"/>
            <w:shd w:val="clear" w:color="000000" w:fill="FFFFFF"/>
            <w:hideMark/>
          </w:tcPr>
          <w:p w14:paraId="299DCB9E"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945429</w:t>
            </w:r>
          </w:p>
        </w:tc>
        <w:tc>
          <w:tcPr>
            <w:tcW w:w="1426" w:type="pct"/>
            <w:vAlign w:val="center"/>
            <w:hideMark/>
          </w:tcPr>
          <w:p w14:paraId="259924BF"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0,51</w:t>
            </w:r>
          </w:p>
        </w:tc>
      </w:tr>
      <w:tr w:rsidR="001B1174" w:rsidRPr="002F68A0" w14:paraId="1C928186" w14:textId="77777777" w:rsidTr="00CD321E">
        <w:trPr>
          <w:trHeight w:val="315"/>
          <w:jc w:val="center"/>
        </w:trPr>
        <w:tc>
          <w:tcPr>
            <w:tcW w:w="566" w:type="pct"/>
            <w:noWrap/>
            <w:hideMark/>
          </w:tcPr>
          <w:p w14:paraId="0F97D6A5"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2021</w:t>
            </w:r>
          </w:p>
        </w:tc>
        <w:tc>
          <w:tcPr>
            <w:tcW w:w="789" w:type="pct"/>
            <w:shd w:val="clear" w:color="000000" w:fill="FFFFFF"/>
            <w:hideMark/>
          </w:tcPr>
          <w:p w14:paraId="4F12384E"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78121</w:t>
            </w:r>
          </w:p>
        </w:tc>
        <w:tc>
          <w:tcPr>
            <w:tcW w:w="1276" w:type="pct"/>
            <w:vAlign w:val="center"/>
            <w:hideMark/>
          </w:tcPr>
          <w:p w14:paraId="0906E34D"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5,85</w:t>
            </w:r>
          </w:p>
        </w:tc>
        <w:tc>
          <w:tcPr>
            <w:tcW w:w="943" w:type="pct"/>
            <w:shd w:val="clear" w:color="000000" w:fill="FFFFFF"/>
            <w:hideMark/>
          </w:tcPr>
          <w:p w14:paraId="684AC814"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994559</w:t>
            </w:r>
          </w:p>
        </w:tc>
        <w:tc>
          <w:tcPr>
            <w:tcW w:w="1426" w:type="pct"/>
            <w:vAlign w:val="center"/>
            <w:hideMark/>
          </w:tcPr>
          <w:p w14:paraId="17EA8F92"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5,20</w:t>
            </w:r>
          </w:p>
        </w:tc>
      </w:tr>
      <w:tr w:rsidR="001B1174" w:rsidRPr="002F68A0" w14:paraId="255577C8" w14:textId="77777777" w:rsidTr="00CD321E">
        <w:trPr>
          <w:trHeight w:val="315"/>
          <w:jc w:val="center"/>
        </w:trPr>
        <w:tc>
          <w:tcPr>
            <w:tcW w:w="566" w:type="pct"/>
            <w:tcBorders>
              <w:bottom w:val="single" w:sz="4" w:space="0" w:color="auto"/>
            </w:tcBorders>
            <w:noWrap/>
            <w:hideMark/>
          </w:tcPr>
          <w:p w14:paraId="3B7FAEF9"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2022</w:t>
            </w:r>
          </w:p>
        </w:tc>
        <w:tc>
          <w:tcPr>
            <w:tcW w:w="789" w:type="pct"/>
            <w:tcBorders>
              <w:bottom w:val="single" w:sz="4" w:space="0" w:color="auto"/>
            </w:tcBorders>
            <w:shd w:val="clear" w:color="000000" w:fill="FFFFFF"/>
            <w:hideMark/>
          </w:tcPr>
          <w:p w14:paraId="2C685043"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84057</w:t>
            </w:r>
          </w:p>
        </w:tc>
        <w:tc>
          <w:tcPr>
            <w:tcW w:w="1276" w:type="pct"/>
            <w:tcBorders>
              <w:bottom w:val="single" w:sz="4" w:space="0" w:color="auto"/>
            </w:tcBorders>
            <w:vAlign w:val="center"/>
            <w:hideMark/>
          </w:tcPr>
          <w:p w14:paraId="38DBF0F5"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7,60</w:t>
            </w:r>
          </w:p>
        </w:tc>
        <w:tc>
          <w:tcPr>
            <w:tcW w:w="943" w:type="pct"/>
            <w:tcBorders>
              <w:bottom w:val="single" w:sz="4" w:space="0" w:color="auto"/>
            </w:tcBorders>
            <w:shd w:val="clear" w:color="000000" w:fill="FFFFFF"/>
            <w:noWrap/>
            <w:hideMark/>
          </w:tcPr>
          <w:p w14:paraId="68B7BFF1"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1082202</w:t>
            </w:r>
          </w:p>
        </w:tc>
        <w:tc>
          <w:tcPr>
            <w:tcW w:w="1426" w:type="pct"/>
            <w:tcBorders>
              <w:bottom w:val="single" w:sz="4" w:space="0" w:color="auto"/>
            </w:tcBorders>
            <w:vAlign w:val="center"/>
            <w:hideMark/>
          </w:tcPr>
          <w:p w14:paraId="6C4B71B1" w14:textId="77777777" w:rsidR="001B1174" w:rsidRPr="002F68A0" w:rsidRDefault="001B1174" w:rsidP="00377E23">
            <w:pPr>
              <w:spacing w:after="0" w:line="240" w:lineRule="auto"/>
              <w:contextualSpacing/>
              <w:jc w:val="center"/>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8,81</w:t>
            </w:r>
          </w:p>
        </w:tc>
      </w:tr>
    </w:tbl>
    <w:p w14:paraId="5AE0FD76" w14:textId="77777777" w:rsidR="001B1174" w:rsidRPr="002F68A0" w:rsidRDefault="001B1174" w:rsidP="00377E23">
      <w:pPr>
        <w:shd w:val="clear" w:color="auto" w:fill="FFFFFF"/>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Fonte: RAIS/CAGED, 2016-2022</w:t>
      </w:r>
    </w:p>
    <w:p w14:paraId="04686E7D" w14:textId="77777777" w:rsidR="001B1174" w:rsidRPr="002F68A0" w:rsidRDefault="001B1174" w:rsidP="00377E23">
      <w:pPr>
        <w:shd w:val="clear" w:color="auto" w:fill="FFFFFF"/>
        <w:spacing w:after="0" w:line="360" w:lineRule="auto"/>
        <w:contextualSpacing/>
        <w:jc w:val="both"/>
        <w:rPr>
          <w:rFonts w:ascii="Times New Roman" w:eastAsia="Times New Roman" w:hAnsi="Times New Roman" w:cs="Times New Roman"/>
          <w:sz w:val="24"/>
          <w:szCs w:val="24"/>
        </w:rPr>
      </w:pPr>
    </w:p>
    <w:p w14:paraId="356363FD" w14:textId="71E93183" w:rsidR="001B1174" w:rsidRPr="002F68A0" w:rsidRDefault="001B1174" w:rsidP="00377E23">
      <w:pPr>
        <w:shd w:val="clear" w:color="auto" w:fill="FFFFFF"/>
        <w:spacing w:after="0" w:line="360" w:lineRule="auto"/>
        <w:ind w:firstLine="720"/>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A estrutura de emprego formal (</w:t>
      </w:r>
      <w:r w:rsidRPr="0017638A">
        <w:rPr>
          <w:rFonts w:ascii="Times New Roman" w:eastAsia="Times New Roman" w:hAnsi="Times New Roman" w:cs="Times New Roman"/>
          <w:sz w:val="24"/>
          <w:szCs w:val="24"/>
        </w:rPr>
        <w:t>figura</w:t>
      </w:r>
      <w:r w:rsidR="0017638A" w:rsidRPr="0017638A">
        <w:rPr>
          <w:rFonts w:ascii="Times New Roman" w:eastAsia="Times New Roman" w:hAnsi="Times New Roman" w:cs="Times New Roman"/>
          <w:sz w:val="24"/>
          <w:szCs w:val="24"/>
        </w:rPr>
        <w:t xml:space="preserve"> </w:t>
      </w:r>
      <w:r w:rsidRPr="0017638A">
        <w:rPr>
          <w:rFonts w:ascii="Times New Roman" w:eastAsia="Times New Roman" w:hAnsi="Times New Roman" w:cs="Times New Roman"/>
          <w:sz w:val="24"/>
          <w:szCs w:val="24"/>
        </w:rPr>
        <w:t>1</w:t>
      </w:r>
      <w:r w:rsidR="0017638A" w:rsidRPr="0017638A">
        <w:rPr>
          <w:rFonts w:ascii="Times New Roman" w:eastAsia="Times New Roman" w:hAnsi="Times New Roman" w:cs="Times New Roman"/>
          <w:sz w:val="24"/>
          <w:szCs w:val="24"/>
        </w:rPr>
        <w:t>0</w:t>
      </w:r>
      <w:r w:rsidRPr="002F68A0">
        <w:rPr>
          <w:rFonts w:ascii="Times New Roman" w:eastAsia="Times New Roman" w:hAnsi="Times New Roman" w:cs="Times New Roman"/>
          <w:sz w:val="24"/>
          <w:szCs w:val="24"/>
        </w:rPr>
        <w:t xml:space="preserve">) industrial na </w:t>
      </w:r>
      <w:r w:rsidR="005342DC">
        <w:rPr>
          <w:rFonts w:ascii="Times New Roman" w:eastAsia="Times New Roman" w:hAnsi="Times New Roman" w:cs="Times New Roman"/>
          <w:sz w:val="24"/>
          <w:szCs w:val="24"/>
        </w:rPr>
        <w:t>Paraíba</w:t>
      </w:r>
      <w:r w:rsidRPr="002F68A0">
        <w:rPr>
          <w:rFonts w:ascii="Times New Roman" w:eastAsia="Times New Roman" w:hAnsi="Times New Roman" w:cs="Times New Roman"/>
          <w:sz w:val="24"/>
          <w:szCs w:val="24"/>
        </w:rPr>
        <w:t xml:space="preserve"> mostra forte concentração na indústria de tran</w:t>
      </w:r>
      <w:r w:rsidR="007B3D32">
        <w:rPr>
          <w:rFonts w:ascii="Times New Roman" w:eastAsia="Times New Roman" w:hAnsi="Times New Roman" w:cs="Times New Roman"/>
          <w:sz w:val="24"/>
          <w:szCs w:val="24"/>
        </w:rPr>
        <w:t xml:space="preserve">sformação, que respondeu por 60 a </w:t>
      </w:r>
      <w:r w:rsidRPr="002F68A0">
        <w:rPr>
          <w:rFonts w:ascii="Times New Roman" w:eastAsia="Times New Roman" w:hAnsi="Times New Roman" w:cs="Times New Roman"/>
          <w:sz w:val="24"/>
          <w:szCs w:val="24"/>
        </w:rPr>
        <w:t>70% dos postos de trabalho ao longo do período analisado. Esse setor que inclui atividade</w:t>
      </w:r>
      <w:r w:rsidR="00DF0DF4">
        <w:rPr>
          <w:rFonts w:ascii="Times New Roman" w:eastAsia="Times New Roman" w:hAnsi="Times New Roman" w:cs="Times New Roman"/>
          <w:sz w:val="24"/>
          <w:szCs w:val="24"/>
        </w:rPr>
        <w:t>s</w:t>
      </w:r>
      <w:r w:rsidRPr="002F68A0">
        <w:rPr>
          <w:rFonts w:ascii="Times New Roman" w:eastAsia="Times New Roman" w:hAnsi="Times New Roman" w:cs="Times New Roman"/>
          <w:sz w:val="24"/>
          <w:szCs w:val="24"/>
        </w:rPr>
        <w:t xml:space="preserve"> como </w:t>
      </w:r>
      <w:r w:rsidR="00DF0DF4" w:rsidRPr="002F68A0">
        <w:rPr>
          <w:rFonts w:ascii="Times New Roman" w:eastAsia="Times New Roman" w:hAnsi="Times New Roman" w:cs="Times New Roman"/>
          <w:sz w:val="24"/>
          <w:szCs w:val="24"/>
        </w:rPr>
        <w:t>têxtil</w:t>
      </w:r>
      <w:r w:rsidRPr="002F68A0">
        <w:rPr>
          <w:rFonts w:ascii="Times New Roman" w:eastAsia="Times New Roman" w:hAnsi="Times New Roman" w:cs="Times New Roman"/>
          <w:sz w:val="24"/>
          <w:szCs w:val="24"/>
        </w:rPr>
        <w:t>, alimentício e metalurgia, apresentou relativa estabilidade, com leve tendência de queda a partir de 2019, possivelmente refletindo os impactos da pandemia e da concorrência de outros estados.</w:t>
      </w:r>
    </w:p>
    <w:p w14:paraId="40FFABB0" w14:textId="18D2F4D7" w:rsidR="001B1174" w:rsidRPr="002F68A0" w:rsidRDefault="001B1174" w:rsidP="00377E23">
      <w:pPr>
        <w:shd w:val="clear" w:color="auto" w:fill="FFFFFF"/>
        <w:spacing w:after="0" w:line="360" w:lineRule="auto"/>
        <w:ind w:firstLine="720"/>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lastRenderedPageBreak/>
        <w:t>A construção civil aparece como segundo maior empregador, com participa</w:t>
      </w:r>
      <w:r w:rsidR="007B3D32">
        <w:rPr>
          <w:rFonts w:ascii="Times New Roman" w:eastAsia="Times New Roman" w:hAnsi="Times New Roman" w:cs="Times New Roman"/>
          <w:sz w:val="24"/>
          <w:szCs w:val="24"/>
        </w:rPr>
        <w:t xml:space="preserve">ção entre 20 e </w:t>
      </w:r>
      <w:r w:rsidRPr="002F68A0">
        <w:rPr>
          <w:rFonts w:ascii="Times New Roman" w:eastAsia="Times New Roman" w:hAnsi="Times New Roman" w:cs="Times New Roman"/>
          <w:sz w:val="24"/>
          <w:szCs w:val="24"/>
        </w:rPr>
        <w:t xml:space="preserve">30%, mostrando o comportamento cíclico que </w:t>
      </w:r>
      <w:r w:rsidR="00DF0DF4">
        <w:rPr>
          <w:rFonts w:ascii="Times New Roman" w:eastAsia="Times New Roman" w:hAnsi="Times New Roman" w:cs="Times New Roman"/>
          <w:sz w:val="24"/>
          <w:szCs w:val="24"/>
        </w:rPr>
        <w:t>é</w:t>
      </w:r>
      <w:r w:rsidRPr="002F68A0">
        <w:rPr>
          <w:rFonts w:ascii="Times New Roman" w:eastAsia="Times New Roman" w:hAnsi="Times New Roman" w:cs="Times New Roman"/>
          <w:sz w:val="24"/>
          <w:szCs w:val="24"/>
        </w:rPr>
        <w:t xml:space="preserve"> característico do setor. Após queda em 2020, apresentou a recuperação </w:t>
      </w:r>
      <w:r w:rsidR="00DF0DF4">
        <w:rPr>
          <w:rFonts w:ascii="Times New Roman" w:eastAsia="Times New Roman" w:hAnsi="Times New Roman" w:cs="Times New Roman"/>
          <w:sz w:val="24"/>
          <w:szCs w:val="24"/>
        </w:rPr>
        <w:t>nos anos de 2021 e 2022</w:t>
      </w:r>
      <w:r w:rsidRPr="002F68A0">
        <w:rPr>
          <w:rFonts w:ascii="Times New Roman" w:eastAsia="Times New Roman" w:hAnsi="Times New Roman" w:cs="Times New Roman"/>
          <w:sz w:val="24"/>
          <w:szCs w:val="24"/>
        </w:rPr>
        <w:t xml:space="preserve">, indicando resposta positiva aos investimentos </w:t>
      </w:r>
      <w:r w:rsidR="00DF0DF4">
        <w:rPr>
          <w:rFonts w:ascii="Times New Roman" w:eastAsia="Times New Roman" w:hAnsi="Times New Roman" w:cs="Times New Roman"/>
          <w:sz w:val="24"/>
          <w:szCs w:val="24"/>
        </w:rPr>
        <w:t xml:space="preserve">em </w:t>
      </w:r>
      <w:r w:rsidRPr="002F68A0">
        <w:rPr>
          <w:rFonts w:ascii="Times New Roman" w:eastAsia="Times New Roman" w:hAnsi="Times New Roman" w:cs="Times New Roman"/>
          <w:sz w:val="24"/>
          <w:szCs w:val="24"/>
        </w:rPr>
        <w:t>infraestrutura e programas habitacionais.</w:t>
      </w:r>
    </w:p>
    <w:p w14:paraId="2B74C99A" w14:textId="60EFAD04" w:rsidR="001B1174" w:rsidRPr="002F68A0" w:rsidRDefault="001B1174" w:rsidP="00377E23">
      <w:pPr>
        <w:shd w:val="clear" w:color="auto" w:fill="FFFFFF"/>
        <w:spacing w:after="0" w:line="360" w:lineRule="auto"/>
        <w:ind w:firstLine="720"/>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 xml:space="preserve">Os serviços industriais de utilidade pública (energia água e saneamento) mantiveram participação estável em torno de </w:t>
      </w:r>
      <w:r w:rsidR="00356EFB">
        <w:rPr>
          <w:rFonts w:ascii="Times New Roman" w:eastAsia="Times New Roman" w:hAnsi="Times New Roman" w:cs="Times New Roman"/>
          <w:sz w:val="24"/>
          <w:szCs w:val="24"/>
        </w:rPr>
        <w:t>6%</w:t>
      </w:r>
      <w:r w:rsidRPr="002F68A0">
        <w:rPr>
          <w:rFonts w:ascii="Times New Roman" w:eastAsia="Times New Roman" w:hAnsi="Times New Roman" w:cs="Times New Roman"/>
          <w:sz w:val="24"/>
          <w:szCs w:val="24"/>
        </w:rPr>
        <w:t xml:space="preserve"> e </w:t>
      </w:r>
      <w:r w:rsidR="00356EFB">
        <w:rPr>
          <w:rFonts w:ascii="Times New Roman" w:eastAsia="Times New Roman" w:hAnsi="Times New Roman" w:cs="Times New Roman"/>
          <w:sz w:val="24"/>
          <w:szCs w:val="24"/>
        </w:rPr>
        <w:t>7</w:t>
      </w:r>
      <w:r w:rsidRPr="002F68A0">
        <w:rPr>
          <w:rFonts w:ascii="Times New Roman" w:eastAsia="Times New Roman" w:hAnsi="Times New Roman" w:cs="Times New Roman"/>
          <w:sz w:val="24"/>
          <w:szCs w:val="24"/>
        </w:rPr>
        <w:t xml:space="preserve">%, enquanto a extrativa mineral permaneceu com peso insignificante (abaixo de 5%) evidenciando a limitada exploração dos </w:t>
      </w:r>
      <w:r w:rsidR="0041160D">
        <w:rPr>
          <w:rFonts w:ascii="Times New Roman" w:eastAsia="Times New Roman" w:hAnsi="Times New Roman" w:cs="Times New Roman"/>
          <w:sz w:val="24"/>
          <w:szCs w:val="24"/>
        </w:rPr>
        <w:t>recursos minerais do Estado.</w:t>
      </w:r>
      <w:r w:rsidR="001D5C2C">
        <w:rPr>
          <w:rFonts w:ascii="Times New Roman" w:eastAsia="Times New Roman" w:hAnsi="Times New Roman" w:cs="Times New Roman"/>
          <w:sz w:val="24"/>
          <w:szCs w:val="24"/>
        </w:rPr>
        <w:t xml:space="preserve"> Em síntese, a</w:t>
      </w:r>
      <w:r w:rsidRPr="002F68A0">
        <w:rPr>
          <w:rFonts w:ascii="Times New Roman" w:eastAsia="Times New Roman" w:hAnsi="Times New Roman" w:cs="Times New Roman"/>
          <w:sz w:val="24"/>
          <w:szCs w:val="24"/>
        </w:rPr>
        <w:t xml:space="preserve">nálise revela uma estrutura industrial um pouco diversificada, com alto dependência da transformação industrial tradicional. </w:t>
      </w:r>
    </w:p>
    <w:p w14:paraId="4FB13CD6" w14:textId="77777777" w:rsidR="0017638A" w:rsidRPr="002F68A0" w:rsidRDefault="0017638A" w:rsidP="00377E23">
      <w:pPr>
        <w:shd w:val="clear" w:color="auto" w:fill="FFFFFF"/>
        <w:spacing w:after="0" w:line="360" w:lineRule="auto"/>
        <w:contextualSpacing/>
        <w:jc w:val="both"/>
        <w:rPr>
          <w:rFonts w:ascii="Times New Roman" w:eastAsia="Times New Roman" w:hAnsi="Times New Roman" w:cs="Times New Roman"/>
          <w:sz w:val="24"/>
          <w:szCs w:val="24"/>
        </w:rPr>
      </w:pPr>
    </w:p>
    <w:p w14:paraId="18F5EC48" w14:textId="550295E6" w:rsidR="001B1174" w:rsidRPr="002F68A0" w:rsidRDefault="0002784E" w:rsidP="00377E23">
      <w:pPr>
        <w:shd w:val="clear" w:color="auto" w:fill="FFFFFF"/>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9</w:t>
      </w:r>
      <w:r w:rsidR="001B1174" w:rsidRPr="002F68A0">
        <w:rPr>
          <w:rFonts w:ascii="Times New Roman" w:eastAsia="Times New Roman" w:hAnsi="Times New Roman" w:cs="Times New Roman"/>
          <w:sz w:val="24"/>
          <w:szCs w:val="24"/>
        </w:rPr>
        <w:t xml:space="preserve"> - Percentual de empregos formais nos setores da indústria da </w:t>
      </w:r>
      <w:r w:rsidR="005342DC">
        <w:rPr>
          <w:rFonts w:ascii="Times New Roman" w:eastAsia="Times New Roman" w:hAnsi="Times New Roman" w:cs="Times New Roman"/>
          <w:sz w:val="24"/>
          <w:szCs w:val="24"/>
        </w:rPr>
        <w:t>Paraíba</w:t>
      </w:r>
      <w:r w:rsidR="001B1174" w:rsidRPr="002F68A0">
        <w:rPr>
          <w:rFonts w:ascii="Times New Roman" w:eastAsia="Times New Roman" w:hAnsi="Times New Roman" w:cs="Times New Roman"/>
          <w:sz w:val="24"/>
          <w:szCs w:val="24"/>
        </w:rPr>
        <w:t>, 2016-2020</w:t>
      </w:r>
    </w:p>
    <w:p w14:paraId="2D765090" w14:textId="77777777" w:rsidR="001B1174" w:rsidRPr="002F68A0" w:rsidRDefault="001B1174" w:rsidP="00377E23">
      <w:pPr>
        <w:shd w:val="clear" w:color="auto" w:fill="FFFFFF"/>
        <w:spacing w:after="0" w:line="360" w:lineRule="auto"/>
        <w:contextualSpacing/>
        <w:jc w:val="both"/>
        <w:rPr>
          <w:rFonts w:ascii="Times New Roman" w:eastAsia="Times New Roman" w:hAnsi="Times New Roman" w:cs="Times New Roman"/>
          <w:sz w:val="24"/>
          <w:szCs w:val="24"/>
        </w:rPr>
      </w:pPr>
      <w:r w:rsidRPr="002F68A0">
        <w:rPr>
          <w:rFonts w:ascii="Times New Roman" w:hAnsi="Times New Roman" w:cs="Times New Roman"/>
          <w:noProof/>
          <w:sz w:val="24"/>
          <w:szCs w:val="24"/>
          <w:lang w:eastAsia="pt-BR"/>
        </w:rPr>
        <w:drawing>
          <wp:inline distT="0" distB="0" distL="0" distR="0" wp14:anchorId="5CC42796" wp14:editId="6C2F92A9">
            <wp:extent cx="5760085" cy="3956685"/>
            <wp:effectExtent l="0" t="0" r="12065" b="571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EFD65F3" w14:textId="44AF2D3F" w:rsidR="001B1174" w:rsidRDefault="001B1174" w:rsidP="00377E23">
      <w:pPr>
        <w:shd w:val="clear" w:color="auto" w:fill="FFFFFF"/>
        <w:spacing w:after="0" w:line="240" w:lineRule="auto"/>
        <w:contextualSpacing/>
        <w:jc w:val="both"/>
        <w:rPr>
          <w:rFonts w:ascii="Times New Roman" w:eastAsia="Times New Roman" w:hAnsi="Times New Roman" w:cs="Times New Roman"/>
          <w:sz w:val="24"/>
          <w:szCs w:val="24"/>
        </w:rPr>
      </w:pPr>
      <w:r w:rsidRPr="002F68A0">
        <w:rPr>
          <w:rFonts w:ascii="Times New Roman" w:eastAsia="Times New Roman" w:hAnsi="Times New Roman" w:cs="Times New Roman"/>
          <w:sz w:val="24"/>
          <w:szCs w:val="24"/>
        </w:rPr>
        <w:t>Fonte: RAIS/CAGED, 2016-2022</w:t>
      </w:r>
    </w:p>
    <w:p w14:paraId="4812BA7A" w14:textId="77777777" w:rsidR="009D219F" w:rsidRDefault="009D219F" w:rsidP="00377E23">
      <w:pPr>
        <w:shd w:val="clear" w:color="auto" w:fill="FFFFFF"/>
        <w:spacing w:after="0" w:line="240" w:lineRule="auto"/>
        <w:contextualSpacing/>
        <w:jc w:val="both"/>
        <w:rPr>
          <w:rFonts w:ascii="Times New Roman" w:eastAsia="Times New Roman" w:hAnsi="Times New Roman" w:cs="Times New Roman"/>
          <w:sz w:val="24"/>
          <w:szCs w:val="24"/>
        </w:rPr>
      </w:pPr>
    </w:p>
    <w:p w14:paraId="6D6429DE" w14:textId="03018618" w:rsidR="008F164F" w:rsidRPr="002F68A0" w:rsidRDefault="008F164F" w:rsidP="00377E23">
      <w:pPr>
        <w:pStyle w:val="PargrafodaLista"/>
        <w:numPr>
          <w:ilvl w:val="0"/>
          <w:numId w:val="18"/>
        </w:numPr>
        <w:rPr>
          <w:b/>
        </w:rPr>
      </w:pPr>
      <w:r w:rsidRPr="002F68A0">
        <w:rPr>
          <w:b/>
        </w:rPr>
        <w:t>CONSIDERAÇÕES FINAIS</w:t>
      </w:r>
    </w:p>
    <w:p w14:paraId="426D79F0" w14:textId="51C60484" w:rsidR="008F164F" w:rsidRPr="00740750" w:rsidRDefault="008F164F" w:rsidP="00377E23">
      <w:pPr>
        <w:spacing w:after="0"/>
        <w:contextualSpacing/>
        <w:rPr>
          <w:rFonts w:ascii="Times New Roman" w:hAnsi="Times New Roman" w:cs="Times New Roman"/>
          <w:sz w:val="20"/>
        </w:rPr>
      </w:pPr>
    </w:p>
    <w:p w14:paraId="4F380440" w14:textId="5B6E60E1" w:rsidR="007C3FC3" w:rsidRPr="007E7086" w:rsidRDefault="007C3FC3" w:rsidP="00377E23">
      <w:pPr>
        <w:spacing w:after="0" w:line="360" w:lineRule="auto"/>
        <w:ind w:firstLine="567"/>
        <w:contextualSpacing/>
        <w:jc w:val="both"/>
        <w:rPr>
          <w:rFonts w:ascii="Times New Roman" w:hAnsi="Times New Roman" w:cs="Times New Roman"/>
          <w:sz w:val="24"/>
        </w:rPr>
      </w:pPr>
      <w:r w:rsidRPr="007E7086">
        <w:rPr>
          <w:rFonts w:ascii="Times New Roman" w:hAnsi="Times New Roman" w:cs="Times New Roman"/>
          <w:sz w:val="24"/>
        </w:rPr>
        <w:t xml:space="preserve">O desempenho da atividade industrial da Paraíba, entre 2016 e 2022, revelou avanços significativos, tanto no crescimento do número de estabelecimentos industriais quanto na geração de empregos formais e no fortalecimento do setor produtivo estadual. Os dados analisados demonstraram que, após um período de retração, sobretudo até 2020, o estado </w:t>
      </w:r>
      <w:r w:rsidRPr="007E7086">
        <w:rPr>
          <w:rFonts w:ascii="Times New Roman" w:hAnsi="Times New Roman" w:cs="Times New Roman"/>
          <w:sz w:val="24"/>
        </w:rPr>
        <w:lastRenderedPageBreak/>
        <w:t>apresentou uma recuperação expressiva nos anos seguintes: em 2021, o número de unidades industriais cresceu 9,21% e, em 2022, 10,51%, alca</w:t>
      </w:r>
      <w:r w:rsidR="007E7086">
        <w:rPr>
          <w:rFonts w:ascii="Times New Roman" w:hAnsi="Times New Roman" w:cs="Times New Roman"/>
          <w:sz w:val="24"/>
        </w:rPr>
        <w:t xml:space="preserve">nçando 1.914 estabelecimentos, </w:t>
      </w:r>
      <w:r w:rsidRPr="007E7086">
        <w:rPr>
          <w:rFonts w:ascii="Times New Roman" w:hAnsi="Times New Roman" w:cs="Times New Roman"/>
          <w:sz w:val="24"/>
        </w:rPr>
        <w:t>o maior patamar da série histórica. Da mesma forma, o emprego formal no setor industrial, que havia registrado queda acumulada de 8,3% entre 2016 e 2019, voltou a crescer a partir de 2020, atingindo um aumento de 7,6% em 2022 em relação ao ano anterior.</w:t>
      </w:r>
    </w:p>
    <w:p w14:paraId="3307ED7B" w14:textId="77777777" w:rsidR="007C3FC3" w:rsidRPr="007C3FC3" w:rsidRDefault="007C3FC3" w:rsidP="00377E23">
      <w:pPr>
        <w:spacing w:after="0" w:line="360" w:lineRule="auto"/>
        <w:ind w:firstLine="567"/>
        <w:contextualSpacing/>
        <w:jc w:val="both"/>
        <w:rPr>
          <w:rFonts w:ascii="Times New Roman" w:eastAsia="Times New Roman" w:hAnsi="Times New Roman" w:cs="Times New Roman"/>
          <w:kern w:val="0"/>
          <w:sz w:val="24"/>
          <w:szCs w:val="24"/>
          <w:lang w:eastAsia="pt-BR"/>
          <w14:ligatures w14:val="none"/>
        </w:rPr>
      </w:pPr>
      <w:r w:rsidRPr="007C3FC3">
        <w:rPr>
          <w:rFonts w:ascii="Times New Roman" w:eastAsia="Times New Roman" w:hAnsi="Times New Roman" w:cs="Times New Roman"/>
          <w:kern w:val="0"/>
          <w:sz w:val="24"/>
          <w:szCs w:val="24"/>
          <w:lang w:eastAsia="pt-BR"/>
          <w14:ligatures w14:val="none"/>
        </w:rPr>
        <w:t>Esse desempenho esteve diretamente relacionado à atuação da Companhia de Desenvolvimento da Paraíba (CINEP), que aprovou 232 projetos entre 2019 e 2022, gerando mais de 5 mil empregos diretos. Os programas de incentivo, em especial o Fundo de Apoio ao Desenvolvimento Industrial (FAIN), mostraram-se eficazes na atração de empreendimentos e na sustentação da atividade produtiva em períodos críticos, como a pandemia de COVID-19. Ao mesmo tempo, os dados do PIB estadual confirmaram resiliência: a Paraíba saiu de R$ 59,1 bilhões em 2016 para R$ 63,5 bilhões em 2022, com destaque para a 4ª melhor taxa de crescimento do Nordeste em 2020, em contraste com a 8ª posição do ano anterior.</w:t>
      </w:r>
    </w:p>
    <w:p w14:paraId="33419F7C" w14:textId="2F7F8DE4" w:rsidR="00B666E4" w:rsidRPr="00870C96" w:rsidRDefault="001D5C2C" w:rsidP="00377E23">
      <w:pPr>
        <w:spacing w:after="0" w:line="360" w:lineRule="auto"/>
        <w:ind w:firstLine="567"/>
        <w:contextualSpacing/>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Em suma, a</w:t>
      </w:r>
      <w:r w:rsidR="007C3FC3" w:rsidRPr="007C3FC3">
        <w:rPr>
          <w:rFonts w:ascii="Times New Roman" w:eastAsia="Times New Roman" w:hAnsi="Times New Roman" w:cs="Times New Roman"/>
          <w:kern w:val="0"/>
          <w:sz w:val="24"/>
          <w:szCs w:val="24"/>
          <w:lang w:eastAsia="pt-BR"/>
          <w14:ligatures w14:val="none"/>
        </w:rPr>
        <w:t xml:space="preserve"> política industrial paraibana apresentou resultados expressivos no período estudado, consolidando avanços na geração de empregos, expansão da base industrial e recuperação econômica em um contexto adverso. A experiência recente da Paraíba oferece não apenas lições para o próprio estado, mas também um referencial para outras unidades federativas interessadas em construir políticas industriais regionais alinhadas à justiça territorial e à transformação social.</w:t>
      </w:r>
    </w:p>
    <w:p w14:paraId="42A0D7FC" w14:textId="77777777" w:rsidR="005214A4" w:rsidRDefault="005214A4" w:rsidP="005214A4">
      <w:pPr>
        <w:spacing w:after="0"/>
        <w:contextualSpacing/>
        <w:rPr>
          <w:rFonts w:ascii="Times New Roman" w:hAnsi="Times New Roman" w:cs="Times New Roman"/>
          <w:b/>
          <w:bCs/>
          <w:sz w:val="24"/>
          <w:szCs w:val="28"/>
        </w:rPr>
      </w:pPr>
    </w:p>
    <w:p w14:paraId="65267260" w14:textId="186A5739" w:rsidR="005214A4" w:rsidRDefault="005214A4" w:rsidP="005214A4">
      <w:pPr>
        <w:spacing w:after="0"/>
        <w:contextualSpacing/>
        <w:rPr>
          <w:rFonts w:ascii="Times New Roman" w:hAnsi="Times New Roman" w:cs="Times New Roman"/>
          <w:b/>
          <w:bCs/>
          <w:sz w:val="24"/>
          <w:szCs w:val="28"/>
        </w:rPr>
      </w:pPr>
      <w:r w:rsidRPr="0091718F">
        <w:rPr>
          <w:rFonts w:ascii="Times New Roman" w:hAnsi="Times New Roman" w:cs="Times New Roman"/>
          <w:b/>
          <w:bCs/>
          <w:sz w:val="24"/>
          <w:szCs w:val="28"/>
        </w:rPr>
        <w:t>REFERÊNCIAS BIBLIOGRÁFICAS</w:t>
      </w:r>
    </w:p>
    <w:p w14:paraId="0EFEC98F" w14:textId="77777777" w:rsidR="005214A4" w:rsidRPr="009D219F" w:rsidRDefault="005214A4" w:rsidP="005214A4">
      <w:pPr>
        <w:spacing w:after="0"/>
        <w:contextualSpacing/>
        <w:rPr>
          <w:rFonts w:ascii="Times New Roman" w:hAnsi="Times New Roman" w:cs="Times New Roman"/>
          <w:b/>
          <w:bCs/>
          <w:sz w:val="16"/>
          <w:szCs w:val="28"/>
        </w:rPr>
      </w:pPr>
    </w:p>
    <w:p w14:paraId="5F873004" w14:textId="77777777" w:rsidR="005214A4" w:rsidRDefault="005214A4" w:rsidP="00740750">
      <w:pPr>
        <w:spacing w:after="0" w:line="240" w:lineRule="auto"/>
        <w:contextualSpacing/>
        <w:rPr>
          <w:rFonts w:ascii="Times New Roman" w:eastAsia="MS Mincho" w:hAnsi="Times New Roman" w:cs="Times New Roman"/>
          <w:kern w:val="0"/>
          <w:sz w:val="24"/>
          <w14:ligatures w14:val="none"/>
        </w:rPr>
      </w:pPr>
      <w:r w:rsidRPr="002F68A0">
        <w:rPr>
          <w:rFonts w:ascii="Times New Roman" w:eastAsia="MS Mincho" w:hAnsi="Times New Roman" w:cs="Times New Roman"/>
          <w:bCs/>
          <w:kern w:val="0"/>
          <w:sz w:val="24"/>
          <w14:ligatures w14:val="none"/>
        </w:rPr>
        <w:t>CHAVES, LUIZ CARLOS.</w:t>
      </w:r>
      <w:r w:rsidRPr="002F68A0">
        <w:rPr>
          <w:rFonts w:ascii="Times New Roman" w:eastAsia="MS Mincho" w:hAnsi="Times New Roman" w:cs="Times New Roman"/>
          <w:kern w:val="0"/>
          <w:sz w:val="24"/>
          <w14:ligatures w14:val="none"/>
        </w:rPr>
        <w:t xml:space="preserve"> </w:t>
      </w:r>
      <w:r w:rsidRPr="002F68A0">
        <w:rPr>
          <w:rFonts w:ascii="Times New Roman" w:eastAsia="MS Mincho" w:hAnsi="Times New Roman" w:cs="Times New Roman"/>
          <w:b/>
          <w:kern w:val="0"/>
          <w:sz w:val="24"/>
          <w14:ligatures w14:val="none"/>
        </w:rPr>
        <w:t>A industrialização: emprego e processo de trabalho no Brasil</w:t>
      </w:r>
      <w:r w:rsidRPr="002F68A0">
        <w:rPr>
          <w:rFonts w:ascii="Times New Roman" w:eastAsia="MS Mincho" w:hAnsi="Times New Roman" w:cs="Times New Roman"/>
          <w:kern w:val="0"/>
          <w:sz w:val="24"/>
          <w14:ligatures w14:val="none"/>
        </w:rPr>
        <w:t xml:space="preserve">. </w:t>
      </w:r>
      <w:r w:rsidRPr="002F68A0">
        <w:rPr>
          <w:rFonts w:ascii="Times New Roman" w:eastAsia="MS Mincho" w:hAnsi="Times New Roman" w:cs="Times New Roman"/>
          <w:i/>
          <w:iCs/>
          <w:kern w:val="0"/>
          <w:sz w:val="24"/>
          <w14:ligatures w14:val="none"/>
        </w:rPr>
        <w:t xml:space="preserve">Revista </w:t>
      </w:r>
      <w:proofErr w:type="spellStart"/>
      <w:r w:rsidRPr="002F68A0">
        <w:rPr>
          <w:rFonts w:ascii="Times New Roman" w:eastAsia="MS Mincho" w:hAnsi="Times New Roman" w:cs="Times New Roman"/>
          <w:i/>
          <w:iCs/>
          <w:kern w:val="0"/>
          <w:sz w:val="24"/>
          <w14:ligatures w14:val="none"/>
        </w:rPr>
        <w:t>Katálysis</w:t>
      </w:r>
      <w:proofErr w:type="spellEnd"/>
      <w:r w:rsidRPr="002F68A0">
        <w:rPr>
          <w:rFonts w:ascii="Times New Roman" w:eastAsia="MS Mincho" w:hAnsi="Times New Roman" w:cs="Times New Roman"/>
          <w:kern w:val="0"/>
          <w:sz w:val="24"/>
          <w14:ligatures w14:val="none"/>
        </w:rPr>
        <w:t>, Florianópolis, v. 11, n. 1, p. 105–113, jan./jun. 2008. Disponível em: https://periodicos.ufsc.br/index.php/katalysis/article/view/7178. Acesso em: 19 maio 2025.</w:t>
      </w:r>
    </w:p>
    <w:p w14:paraId="6049E4B7" w14:textId="77777777" w:rsidR="005214A4" w:rsidRDefault="005214A4" w:rsidP="00740750">
      <w:pPr>
        <w:spacing w:after="0" w:line="240" w:lineRule="auto"/>
        <w:contextualSpacing/>
        <w:rPr>
          <w:rFonts w:ascii="Times New Roman" w:hAnsi="Times New Roman" w:cs="Times New Roman"/>
          <w:sz w:val="24"/>
          <w:szCs w:val="24"/>
        </w:rPr>
      </w:pPr>
      <w:r w:rsidRPr="00796C7D">
        <w:rPr>
          <w:rFonts w:ascii="Times New Roman" w:hAnsi="Times New Roman" w:cs="Times New Roman"/>
          <w:bCs/>
          <w:sz w:val="24"/>
          <w:szCs w:val="24"/>
        </w:rPr>
        <w:t xml:space="preserve">CINEP – Companhia de Desenvolvimento da </w:t>
      </w:r>
      <w:r>
        <w:rPr>
          <w:rFonts w:ascii="Times New Roman" w:hAnsi="Times New Roman" w:cs="Times New Roman"/>
          <w:bCs/>
          <w:sz w:val="24"/>
          <w:szCs w:val="24"/>
        </w:rPr>
        <w:t>Paraíba</w:t>
      </w:r>
      <w:r w:rsidRPr="00796C7D">
        <w:rPr>
          <w:rFonts w:ascii="Times New Roman" w:hAnsi="Times New Roman" w:cs="Times New Roman"/>
          <w:bCs/>
          <w:sz w:val="24"/>
          <w:szCs w:val="24"/>
        </w:rPr>
        <w:t>.</w:t>
      </w:r>
      <w:r w:rsidRPr="00796C7D">
        <w:rPr>
          <w:rFonts w:ascii="Times New Roman" w:hAnsi="Times New Roman" w:cs="Times New Roman"/>
          <w:sz w:val="24"/>
          <w:szCs w:val="24"/>
        </w:rPr>
        <w:t xml:space="preserve"> </w:t>
      </w:r>
      <w:r w:rsidRPr="00796C7D">
        <w:rPr>
          <w:rFonts w:ascii="Times New Roman" w:hAnsi="Times New Roman" w:cs="Times New Roman"/>
          <w:b/>
          <w:sz w:val="24"/>
          <w:szCs w:val="24"/>
        </w:rPr>
        <w:t>Relatório Institucional 2011–2015.</w:t>
      </w:r>
      <w:r w:rsidRPr="00796C7D">
        <w:rPr>
          <w:rFonts w:ascii="Times New Roman" w:hAnsi="Times New Roman" w:cs="Times New Roman"/>
          <w:sz w:val="24"/>
          <w:szCs w:val="24"/>
        </w:rPr>
        <w:t xml:space="preserve"> João Pessoa: CINEP, 2016.</w:t>
      </w:r>
    </w:p>
    <w:p w14:paraId="37D53DAF" w14:textId="77777777" w:rsidR="005214A4" w:rsidRDefault="005214A4" w:rsidP="00740750">
      <w:pPr>
        <w:spacing w:after="0" w:line="240" w:lineRule="auto"/>
        <w:contextualSpacing/>
        <w:rPr>
          <w:rStyle w:val="fontstyle01"/>
          <w:color w:val="auto"/>
        </w:rPr>
      </w:pPr>
      <w:r w:rsidRPr="00665657">
        <w:rPr>
          <w:rStyle w:val="fontstyle01"/>
          <w:color w:val="auto"/>
        </w:rPr>
        <w:t xml:space="preserve">FIANI, R. </w:t>
      </w:r>
      <w:r w:rsidRPr="00195F76">
        <w:rPr>
          <w:rStyle w:val="fontstyle01"/>
          <w:b/>
          <w:color w:val="auto"/>
        </w:rPr>
        <w:t>Economia Brasileira Contemporânea</w:t>
      </w:r>
      <w:r w:rsidRPr="00665657">
        <w:rPr>
          <w:rStyle w:val="fontstyle01"/>
          <w:color w:val="auto"/>
        </w:rPr>
        <w:t>. 3 ed. Rio de Janeiro: LTC, 2007.</w:t>
      </w:r>
    </w:p>
    <w:p w14:paraId="2C3F6CAA" w14:textId="77777777" w:rsidR="005214A4" w:rsidRDefault="005214A4" w:rsidP="00740750">
      <w:pPr>
        <w:spacing w:after="0" w:line="240" w:lineRule="auto"/>
        <w:contextualSpacing/>
        <w:rPr>
          <w:rStyle w:val="fontstyle01"/>
          <w:color w:val="auto"/>
        </w:rPr>
      </w:pPr>
      <w:r w:rsidRPr="002F68A0">
        <w:rPr>
          <w:rStyle w:val="fontstyle01"/>
          <w:color w:val="auto"/>
        </w:rPr>
        <w:t xml:space="preserve">GOVERNO DA </w:t>
      </w:r>
      <w:r>
        <w:rPr>
          <w:rStyle w:val="fontstyle01"/>
          <w:color w:val="auto"/>
        </w:rPr>
        <w:t>PARAÍBA</w:t>
      </w:r>
      <w:r w:rsidRPr="002F68A0">
        <w:rPr>
          <w:rStyle w:val="fontstyle01"/>
          <w:color w:val="auto"/>
        </w:rPr>
        <w:t xml:space="preserve">. </w:t>
      </w:r>
      <w:r w:rsidRPr="002F68A0">
        <w:rPr>
          <w:rStyle w:val="fontstyle21"/>
          <w:color w:val="auto"/>
        </w:rPr>
        <w:t xml:space="preserve">PIB da </w:t>
      </w:r>
      <w:r>
        <w:rPr>
          <w:rStyle w:val="fontstyle21"/>
          <w:color w:val="auto"/>
        </w:rPr>
        <w:t>Paraíba</w:t>
      </w:r>
      <w:r w:rsidRPr="002F68A0">
        <w:rPr>
          <w:rStyle w:val="fontstyle21"/>
          <w:color w:val="auto"/>
        </w:rPr>
        <w:t xml:space="preserve"> alcança quarta melhor taxa de crescimento no Nordeste, revela IBGE. </w:t>
      </w:r>
      <w:r w:rsidRPr="002F68A0">
        <w:rPr>
          <w:rStyle w:val="fontstyle01"/>
          <w:color w:val="auto"/>
        </w:rPr>
        <w:t>Disponível em: https://paraiba.pb.gov.br/noticias/pib-da-paraibaalcanca-quarta-melhor-taxa-de-crescimento-no-nordeste-revela-ibge-2. Acesso em: 04 de dezembro de 2022.</w:t>
      </w:r>
    </w:p>
    <w:p w14:paraId="47CDCD19" w14:textId="5D636BD8" w:rsidR="005214A4" w:rsidRDefault="005214A4" w:rsidP="00740750">
      <w:pPr>
        <w:spacing w:after="0" w:line="240" w:lineRule="auto"/>
        <w:contextualSpacing/>
        <w:rPr>
          <w:rStyle w:val="fontstyle01"/>
          <w:color w:val="auto"/>
        </w:rPr>
      </w:pPr>
      <w:r w:rsidRPr="00AA7A0D">
        <w:rPr>
          <w:rStyle w:val="fontstyle01"/>
          <w:color w:val="auto"/>
          <w:lang w:val="fr-FR"/>
        </w:rPr>
        <w:t xml:space="preserve">MENDES, C. C. et al. </w:t>
      </w:r>
      <w:r w:rsidRPr="002F68A0">
        <w:rPr>
          <w:rStyle w:val="fontstyle21"/>
          <w:color w:val="auto"/>
        </w:rPr>
        <w:t xml:space="preserve">A </w:t>
      </w:r>
      <w:r>
        <w:rPr>
          <w:rStyle w:val="fontstyle21"/>
          <w:color w:val="auto"/>
        </w:rPr>
        <w:t>Paraíba</w:t>
      </w:r>
      <w:r w:rsidRPr="002F68A0">
        <w:rPr>
          <w:rStyle w:val="fontstyle21"/>
          <w:color w:val="auto"/>
        </w:rPr>
        <w:t xml:space="preserve"> no contexto nacional, regional e interno</w:t>
      </w:r>
      <w:r w:rsidRPr="002F68A0">
        <w:rPr>
          <w:rStyle w:val="fontstyle01"/>
          <w:color w:val="auto"/>
        </w:rPr>
        <w:t xml:space="preserve">. Rio de Janeiro, IPEA, 2012. Disponível em: https://www.ipea.gov.br/portal/index.php?option </w:t>
      </w:r>
      <w:proofErr w:type="spellStart"/>
      <w:r w:rsidRPr="002F68A0">
        <w:rPr>
          <w:rStyle w:val="fontstyle01"/>
          <w:color w:val="auto"/>
        </w:rPr>
        <w:t>com_content&amp;view</w:t>
      </w:r>
      <w:proofErr w:type="spellEnd"/>
      <w:r w:rsidRPr="002F68A0">
        <w:rPr>
          <w:rStyle w:val="fontstyle01"/>
          <w:color w:val="auto"/>
        </w:rPr>
        <w:t>=</w:t>
      </w:r>
      <w:proofErr w:type="spellStart"/>
      <w:r w:rsidRPr="002F68A0">
        <w:rPr>
          <w:rStyle w:val="fontstyle01"/>
          <w:color w:val="auto"/>
        </w:rPr>
        <w:t>article&amp;id</w:t>
      </w:r>
      <w:proofErr w:type="spellEnd"/>
      <w:r w:rsidRPr="002F68A0">
        <w:rPr>
          <w:rStyle w:val="fontstyle01"/>
          <w:color w:val="auto"/>
        </w:rPr>
        <w:t>=15454. Acesso em: 29 set. 202</w:t>
      </w:r>
      <w:r w:rsidR="001D5C2C">
        <w:rPr>
          <w:rStyle w:val="fontstyle01"/>
          <w:color w:val="auto"/>
        </w:rPr>
        <w:t>5</w:t>
      </w:r>
      <w:r w:rsidRPr="002F68A0">
        <w:rPr>
          <w:rStyle w:val="fontstyle01"/>
          <w:color w:val="auto"/>
        </w:rPr>
        <w:t>.</w:t>
      </w:r>
    </w:p>
    <w:p w14:paraId="29F00555" w14:textId="77777777" w:rsidR="005214A4" w:rsidRPr="00F26384" w:rsidRDefault="005214A4" w:rsidP="00740750">
      <w:pPr>
        <w:spacing w:after="0" w:line="240" w:lineRule="auto"/>
        <w:contextualSpacing/>
        <w:rPr>
          <w:rFonts w:ascii="Times New Roman" w:eastAsia="Times New Roman" w:hAnsi="Times New Roman" w:cs="Times New Roman"/>
          <w:kern w:val="0"/>
          <w:sz w:val="24"/>
          <w:szCs w:val="24"/>
          <w:lang w:eastAsia="pt-BR"/>
          <w14:ligatures w14:val="none"/>
        </w:rPr>
      </w:pPr>
      <w:r w:rsidRPr="00F26384">
        <w:rPr>
          <w:rFonts w:ascii="Times New Roman" w:eastAsia="Times New Roman" w:hAnsi="Times New Roman" w:cs="Times New Roman"/>
          <w:kern w:val="0"/>
          <w:sz w:val="24"/>
          <w:szCs w:val="24"/>
          <w:lang w:eastAsia="pt-BR"/>
          <w14:ligatures w14:val="none"/>
        </w:rPr>
        <w:t xml:space="preserve">RODRIGUES, A. M. </w:t>
      </w:r>
      <w:r w:rsidRPr="00F26384">
        <w:rPr>
          <w:rFonts w:ascii="Times New Roman" w:eastAsia="Times New Roman" w:hAnsi="Times New Roman" w:cs="Times New Roman"/>
          <w:b/>
          <w:iCs/>
          <w:kern w:val="0"/>
          <w:sz w:val="24"/>
          <w:szCs w:val="24"/>
          <w:lang w:eastAsia="pt-BR"/>
          <w14:ligatures w14:val="none"/>
        </w:rPr>
        <w:t>Relatório de Gestão CINEP 2023</w:t>
      </w:r>
      <w:r w:rsidRPr="00F26384">
        <w:rPr>
          <w:rFonts w:ascii="Times New Roman" w:eastAsia="Times New Roman" w:hAnsi="Times New Roman" w:cs="Times New Roman"/>
          <w:kern w:val="0"/>
          <w:sz w:val="24"/>
          <w:szCs w:val="24"/>
          <w:lang w:eastAsia="pt-BR"/>
          <w14:ligatures w14:val="none"/>
        </w:rPr>
        <w:t xml:space="preserve">. João Pessoa: Companhia de Desenvolvimento da </w:t>
      </w:r>
      <w:r>
        <w:rPr>
          <w:rFonts w:ascii="Times New Roman" w:eastAsia="Times New Roman" w:hAnsi="Times New Roman" w:cs="Times New Roman"/>
          <w:kern w:val="0"/>
          <w:sz w:val="24"/>
          <w:szCs w:val="24"/>
          <w:lang w:eastAsia="pt-BR"/>
          <w14:ligatures w14:val="none"/>
        </w:rPr>
        <w:t>Paraíba</w:t>
      </w:r>
      <w:r w:rsidRPr="00F26384">
        <w:rPr>
          <w:rFonts w:ascii="Times New Roman" w:eastAsia="Times New Roman" w:hAnsi="Times New Roman" w:cs="Times New Roman"/>
          <w:kern w:val="0"/>
          <w:sz w:val="24"/>
          <w:szCs w:val="24"/>
          <w:lang w:eastAsia="pt-BR"/>
          <w14:ligatures w14:val="none"/>
        </w:rPr>
        <w:t>, 2023.</w:t>
      </w:r>
    </w:p>
    <w:p w14:paraId="7CDFCE0F" w14:textId="6E9671E7" w:rsidR="00455410" w:rsidRDefault="005214A4" w:rsidP="00740750">
      <w:pPr>
        <w:spacing w:after="0" w:line="240" w:lineRule="auto"/>
        <w:contextualSpacing/>
        <w:rPr>
          <w:rFonts w:ascii="Times New Roman" w:hAnsi="Times New Roman" w:cs="Times New Roman"/>
          <w:b/>
          <w:bCs/>
          <w:sz w:val="24"/>
          <w:szCs w:val="28"/>
        </w:rPr>
      </w:pPr>
      <w:r w:rsidRPr="005D2776">
        <w:rPr>
          <w:rFonts w:ascii="Times New Roman" w:eastAsia="Times New Roman" w:hAnsi="Times New Roman" w:cs="Times New Roman"/>
          <w:kern w:val="0"/>
          <w:sz w:val="24"/>
          <w:szCs w:val="24"/>
          <w:lang w:eastAsia="pt-BR"/>
          <w14:ligatures w14:val="none"/>
        </w:rPr>
        <w:t>SILVA, A. L. C</w:t>
      </w:r>
      <w:r w:rsidRPr="005D2776">
        <w:rPr>
          <w:rFonts w:ascii="Times New Roman" w:eastAsia="Times New Roman" w:hAnsi="Times New Roman" w:cs="Times New Roman"/>
          <w:b/>
          <w:kern w:val="0"/>
          <w:sz w:val="24"/>
          <w:szCs w:val="24"/>
          <w:lang w:eastAsia="pt-BR"/>
          <w14:ligatures w14:val="none"/>
        </w:rPr>
        <w:t xml:space="preserve">. </w:t>
      </w:r>
      <w:r w:rsidRPr="005D2776">
        <w:rPr>
          <w:rFonts w:ascii="Times New Roman" w:eastAsia="Times New Roman" w:hAnsi="Times New Roman" w:cs="Times New Roman"/>
          <w:b/>
          <w:iCs/>
          <w:kern w:val="0"/>
          <w:sz w:val="24"/>
          <w:szCs w:val="24"/>
          <w:lang w:eastAsia="pt-BR"/>
          <w14:ligatures w14:val="none"/>
        </w:rPr>
        <w:t xml:space="preserve">A indústria e o desenvolvimento econômico da </w:t>
      </w:r>
      <w:r>
        <w:rPr>
          <w:rFonts w:ascii="Times New Roman" w:eastAsia="Times New Roman" w:hAnsi="Times New Roman" w:cs="Times New Roman"/>
          <w:b/>
          <w:iCs/>
          <w:kern w:val="0"/>
          <w:sz w:val="24"/>
          <w:szCs w:val="24"/>
          <w:lang w:eastAsia="pt-BR"/>
          <w14:ligatures w14:val="none"/>
        </w:rPr>
        <w:t>Paraíba</w:t>
      </w:r>
      <w:r w:rsidRPr="005D2776">
        <w:rPr>
          <w:rFonts w:ascii="Times New Roman" w:eastAsia="Times New Roman" w:hAnsi="Times New Roman" w:cs="Times New Roman"/>
          <w:b/>
          <w:iCs/>
          <w:kern w:val="0"/>
          <w:sz w:val="24"/>
          <w:szCs w:val="24"/>
          <w:lang w:eastAsia="pt-BR"/>
          <w14:ligatures w14:val="none"/>
        </w:rPr>
        <w:t>: limites e potencialidades</w:t>
      </w:r>
      <w:r w:rsidRPr="005D2776">
        <w:rPr>
          <w:rFonts w:ascii="Times New Roman" w:eastAsia="Times New Roman" w:hAnsi="Times New Roman" w:cs="Times New Roman"/>
          <w:b/>
          <w:kern w:val="0"/>
          <w:sz w:val="24"/>
          <w:szCs w:val="24"/>
          <w:lang w:eastAsia="pt-BR"/>
          <w14:ligatures w14:val="none"/>
        </w:rPr>
        <w:t>.</w:t>
      </w:r>
      <w:r w:rsidRPr="005D2776">
        <w:rPr>
          <w:rFonts w:ascii="Times New Roman" w:eastAsia="Times New Roman" w:hAnsi="Times New Roman" w:cs="Times New Roman"/>
          <w:kern w:val="0"/>
          <w:sz w:val="24"/>
          <w:szCs w:val="24"/>
          <w:lang w:eastAsia="pt-BR"/>
          <w14:ligatures w14:val="none"/>
        </w:rPr>
        <w:t xml:space="preserve"> João Pessoa: Ideia, 2014.</w:t>
      </w:r>
    </w:p>
    <w:sectPr w:rsidR="00455410" w:rsidSect="00B666E4">
      <w:headerReference w:type="default" r:id="rId1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23EC" w14:textId="77777777" w:rsidR="00173DE1" w:rsidRDefault="00173DE1" w:rsidP="0037784E">
      <w:pPr>
        <w:spacing w:after="0" w:line="240" w:lineRule="auto"/>
      </w:pPr>
      <w:r>
        <w:separator/>
      </w:r>
    </w:p>
  </w:endnote>
  <w:endnote w:type="continuationSeparator" w:id="0">
    <w:p w14:paraId="1CB39474" w14:textId="77777777" w:rsidR="00173DE1" w:rsidRDefault="00173DE1" w:rsidP="00377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A0B89" w14:textId="77777777" w:rsidR="00173DE1" w:rsidRDefault="00173DE1" w:rsidP="0037784E">
      <w:pPr>
        <w:spacing w:after="0" w:line="240" w:lineRule="auto"/>
      </w:pPr>
      <w:r>
        <w:separator/>
      </w:r>
    </w:p>
  </w:footnote>
  <w:footnote w:type="continuationSeparator" w:id="0">
    <w:p w14:paraId="7ECA77D8" w14:textId="77777777" w:rsidR="00173DE1" w:rsidRDefault="00173DE1" w:rsidP="0037784E">
      <w:pPr>
        <w:spacing w:after="0" w:line="240" w:lineRule="auto"/>
      </w:pPr>
      <w:r>
        <w:continuationSeparator/>
      </w:r>
    </w:p>
  </w:footnote>
  <w:footnote w:id="1">
    <w:p w14:paraId="2C9B38C6" w14:textId="763DCAF2" w:rsidR="0041160D" w:rsidRPr="00DD446A" w:rsidRDefault="0041160D" w:rsidP="00D3082A">
      <w:pPr>
        <w:pStyle w:val="Textodenotaderodap"/>
        <w:ind w:firstLine="0"/>
        <w:contextualSpacing/>
      </w:pPr>
      <w:r w:rsidRPr="00DD446A">
        <w:rPr>
          <w:rStyle w:val="Refdenotaderodap"/>
          <w:rFonts w:eastAsiaTheme="majorEastAsia"/>
        </w:rPr>
        <w:footnoteRef/>
      </w:r>
      <w:r>
        <w:t xml:space="preserve"> </w:t>
      </w:r>
      <w:r w:rsidRPr="00DD446A">
        <w:t xml:space="preserve">Doutorando em Economia Regional e Políticas Públicas (PERPP) </w:t>
      </w:r>
      <w:r>
        <w:t>-</w:t>
      </w:r>
      <w:r w:rsidRPr="00DD446A">
        <w:t xml:space="preserve"> Universidade Estadual de Santa Cruz. Email: </w:t>
      </w:r>
      <w:hyperlink r:id="rId1" w:history="1">
        <w:r w:rsidRPr="00F53457">
          <w:rPr>
            <w:rStyle w:val="Hyperlink"/>
          </w:rPr>
          <w:t>wmsantos@uesc.br</w:t>
        </w:r>
      </w:hyperlink>
    </w:p>
  </w:footnote>
  <w:footnote w:id="2">
    <w:p w14:paraId="59DDDFDE" w14:textId="68AAB824" w:rsidR="0041160D" w:rsidRPr="00DD446A" w:rsidRDefault="0041160D" w:rsidP="00D3082A">
      <w:pPr>
        <w:pStyle w:val="Textodenotaderodap"/>
        <w:ind w:firstLine="0"/>
        <w:contextualSpacing/>
      </w:pPr>
      <w:r w:rsidRPr="00DD446A">
        <w:rPr>
          <w:rStyle w:val="Refdenotaderodap"/>
          <w:rFonts w:eastAsiaTheme="majorEastAsia"/>
        </w:rPr>
        <w:footnoteRef/>
      </w:r>
      <w:r w:rsidRPr="00DD446A">
        <w:t xml:space="preserve"> Mestranda em Economia Regional e Políticas Públicas (PERPP) </w:t>
      </w:r>
      <w:r>
        <w:t>-</w:t>
      </w:r>
      <w:r w:rsidRPr="00DD446A">
        <w:t xml:space="preserve"> Universidade Estadual de Santa Cruz. Email: </w:t>
      </w:r>
      <w:hyperlink r:id="rId2" w:history="1">
        <w:r w:rsidRPr="00623A73">
          <w:rPr>
            <w:rStyle w:val="Hyperlink"/>
            <w:shd w:val="clear" w:color="auto" w:fill="FFFFFF"/>
          </w:rPr>
          <w:t>bpsoares</w:t>
        </w:r>
      </w:hyperlink>
      <w:r w:rsidRPr="00EC7044">
        <w:rPr>
          <w:rStyle w:val="Hyperlink"/>
          <w:shd w:val="clear" w:color="auto" w:fill="FFFFFF"/>
        </w:rPr>
        <w:t>.</w:t>
      </w:r>
      <w:hyperlink r:id="rId3" w:history="1">
        <w:r w:rsidRPr="00FA7815">
          <w:rPr>
            <w:rStyle w:val="Hyperlink"/>
            <w:shd w:val="clear" w:color="auto" w:fill="FFFFFF"/>
          </w:rPr>
          <w:t>perpp</w:t>
        </w:r>
      </w:hyperlink>
      <w:r w:rsidRPr="00EC7044">
        <w:rPr>
          <w:rStyle w:val="Hyperlink"/>
          <w:shd w:val="clear" w:color="auto" w:fill="FFFFFF"/>
        </w:rPr>
        <w:t>@uesc.br</w:t>
      </w:r>
      <w:r w:rsidRPr="00DD446A">
        <w:rPr>
          <w:color w:val="222222"/>
          <w:shd w:val="clear" w:color="auto" w:fill="FFFFFF"/>
        </w:rPr>
        <w:t xml:space="preserve"> </w:t>
      </w:r>
    </w:p>
  </w:footnote>
  <w:footnote w:id="3">
    <w:p w14:paraId="1070B27E" w14:textId="31AA0E5C" w:rsidR="0041160D" w:rsidRPr="00EA747C" w:rsidRDefault="0041160D" w:rsidP="00D3082A">
      <w:pPr>
        <w:pStyle w:val="Textodenotaderodap"/>
        <w:ind w:firstLine="0"/>
        <w:contextualSpacing/>
      </w:pPr>
      <w:r w:rsidRPr="00DD446A">
        <w:rPr>
          <w:rStyle w:val="Refdenotaderodap"/>
          <w:rFonts w:eastAsiaTheme="majorEastAsia"/>
        </w:rPr>
        <w:footnoteRef/>
      </w:r>
      <w:r>
        <w:t xml:space="preserve"> </w:t>
      </w:r>
      <w:r w:rsidRPr="00EA747C">
        <w:t xml:space="preserve">Doutor </w:t>
      </w:r>
      <w:r w:rsidR="00EA747C" w:rsidRPr="00EA747C">
        <w:rPr>
          <w:shd w:val="clear" w:color="auto" w:fill="FFFFFF"/>
        </w:rPr>
        <w:t>Ciências, Políticas Públicas, Estratégias e Desenvolvimento</w:t>
      </w:r>
      <w:r w:rsidRPr="00EA747C">
        <w:t xml:space="preserve">- Universidade Estadual de Santa Cruz. Email: </w:t>
      </w:r>
      <w:hyperlink r:id="rId4" w:tgtFrame="_blank" w:history="1">
        <w:r w:rsidRPr="00EA747C">
          <w:rPr>
            <w:rStyle w:val="Hyperlink"/>
            <w:rFonts w:eastAsiaTheme="majorEastAsia"/>
            <w:color w:val="0059B3"/>
            <w:shd w:val="clear" w:color="auto" w:fill="FFFFFF"/>
          </w:rPr>
          <w:t>gustavo_lisboa@uesc.br</w:t>
        </w:r>
      </w:hyperlink>
    </w:p>
  </w:footnote>
  <w:footnote w:id="4">
    <w:p w14:paraId="4E7C3E20" w14:textId="40995444" w:rsidR="0041160D" w:rsidRPr="0091718F" w:rsidRDefault="0041160D" w:rsidP="00D3082A">
      <w:pPr>
        <w:pStyle w:val="Textodenotaderodap"/>
        <w:ind w:firstLine="0"/>
        <w:contextualSpacing/>
      </w:pPr>
      <w:r w:rsidRPr="00DD446A">
        <w:rPr>
          <w:rStyle w:val="Refdenotaderodap"/>
          <w:rFonts w:eastAsiaTheme="majorEastAsia"/>
        </w:rPr>
        <w:footnoteRef/>
      </w:r>
      <w:r>
        <w:t xml:space="preserve"> Doutora</w:t>
      </w:r>
      <w:r w:rsidRPr="00DD446A">
        <w:t xml:space="preserve"> em Economia Regional e </w:t>
      </w:r>
      <w:r>
        <w:t>Meio Ambiente</w:t>
      </w:r>
      <w:r w:rsidRPr="00DD446A">
        <w:t xml:space="preserve"> (PR</w:t>
      </w:r>
      <w:r>
        <w:t>ODEMA) -</w:t>
      </w:r>
      <w:r w:rsidRPr="00DD446A">
        <w:t xml:space="preserve"> Universidade Estadual de Santa Cruz. Email</w:t>
      </w:r>
      <w:r w:rsidRPr="0091718F">
        <w:t xml:space="preserve">: </w:t>
      </w:r>
      <w:hyperlink r:id="rId5" w:history="1">
        <w:r w:rsidRPr="00DD446A">
          <w:rPr>
            <w:rStyle w:val="Hyperlink"/>
            <w:rFonts w:eastAsiaTheme="majorEastAsia"/>
            <w:color w:val="0059B3"/>
            <w:shd w:val="clear" w:color="auto" w:fill="FFFFFF"/>
          </w:rPr>
          <w:t>anyranlyns@yahoo.com.br</w:t>
        </w:r>
      </w:hyperlink>
    </w:p>
    <w:p w14:paraId="0F682DDD" w14:textId="77777777" w:rsidR="0041160D" w:rsidRPr="00DD446A" w:rsidRDefault="0041160D" w:rsidP="00450F17">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356802"/>
      <w:docPartObj>
        <w:docPartGallery w:val="Page Numbers (Top of Page)"/>
        <w:docPartUnique/>
      </w:docPartObj>
    </w:sdtPr>
    <w:sdtContent>
      <w:p w14:paraId="65962FC9" w14:textId="34647219" w:rsidR="0041160D" w:rsidRDefault="0041160D">
        <w:pPr>
          <w:pStyle w:val="Cabealho"/>
          <w:jc w:val="right"/>
        </w:pPr>
        <w:r>
          <w:rPr>
            <w:noProof/>
            <w:lang w:eastAsia="pt-BR"/>
          </w:rPr>
          <w:drawing>
            <wp:inline distT="0" distB="0" distL="0" distR="0" wp14:anchorId="62D41B89" wp14:editId="14DE2628">
              <wp:extent cx="5760085" cy="750589"/>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085" cy="750589"/>
                      </a:xfrm>
                      <a:prstGeom prst="rect">
                        <a:avLst/>
                      </a:prstGeom>
                      <a:ln/>
                    </pic:spPr>
                  </pic:pic>
                </a:graphicData>
              </a:graphic>
            </wp:inline>
          </w:drawing>
        </w:r>
      </w:p>
    </w:sdtContent>
  </w:sdt>
  <w:p w14:paraId="02D6BC97" w14:textId="77777777" w:rsidR="0041160D" w:rsidRDefault="0041160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E86"/>
    <w:multiLevelType w:val="multilevel"/>
    <w:tmpl w:val="51C694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31D72"/>
    <w:multiLevelType w:val="multilevel"/>
    <w:tmpl w:val="8A70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87096"/>
    <w:multiLevelType w:val="multilevel"/>
    <w:tmpl w:val="F5208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72CC3"/>
    <w:multiLevelType w:val="multilevel"/>
    <w:tmpl w:val="1D78DBA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E5058"/>
    <w:multiLevelType w:val="multilevel"/>
    <w:tmpl w:val="2B3C1B2E"/>
    <w:lvl w:ilvl="0">
      <w:start w:val="3"/>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159063B0"/>
    <w:multiLevelType w:val="multilevel"/>
    <w:tmpl w:val="46E8C94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B2A4115"/>
    <w:multiLevelType w:val="multilevel"/>
    <w:tmpl w:val="E828D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61E4D"/>
    <w:multiLevelType w:val="multilevel"/>
    <w:tmpl w:val="8CC040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EC6AFD"/>
    <w:multiLevelType w:val="multilevel"/>
    <w:tmpl w:val="83E8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34643"/>
    <w:multiLevelType w:val="multilevel"/>
    <w:tmpl w:val="61381394"/>
    <w:lvl w:ilvl="0">
      <w:start w:val="2"/>
      <w:numFmt w:val="decimal"/>
      <w:lvlText w:val="%1"/>
      <w:lvlJc w:val="left"/>
      <w:pPr>
        <w:ind w:left="560" w:hanging="560"/>
      </w:pPr>
      <w:rPr>
        <w:rFonts w:eastAsia="Times New Roman" w:hint="default"/>
        <w:sz w:val="27"/>
      </w:rPr>
    </w:lvl>
    <w:lvl w:ilvl="1">
      <w:start w:val="1"/>
      <w:numFmt w:val="decimal"/>
      <w:lvlText w:val="%1.%2"/>
      <w:lvlJc w:val="left"/>
      <w:pPr>
        <w:ind w:left="560" w:hanging="560"/>
      </w:pPr>
      <w:rPr>
        <w:rFonts w:eastAsia="Times New Roman" w:hint="default"/>
        <w:sz w:val="27"/>
      </w:rPr>
    </w:lvl>
    <w:lvl w:ilvl="2">
      <w:start w:val="1"/>
      <w:numFmt w:val="decimal"/>
      <w:lvlText w:val="%1.%2.%3"/>
      <w:lvlJc w:val="left"/>
      <w:pPr>
        <w:ind w:left="720" w:hanging="720"/>
      </w:pPr>
      <w:rPr>
        <w:rFonts w:eastAsia="Times New Roman" w:hint="default"/>
        <w:sz w:val="27"/>
      </w:rPr>
    </w:lvl>
    <w:lvl w:ilvl="3">
      <w:start w:val="1"/>
      <w:numFmt w:val="decimal"/>
      <w:lvlText w:val="%1.%2.%3.%4"/>
      <w:lvlJc w:val="left"/>
      <w:pPr>
        <w:ind w:left="720" w:hanging="720"/>
      </w:pPr>
      <w:rPr>
        <w:rFonts w:eastAsia="Times New Roman" w:hint="default"/>
        <w:sz w:val="27"/>
      </w:rPr>
    </w:lvl>
    <w:lvl w:ilvl="4">
      <w:start w:val="1"/>
      <w:numFmt w:val="decimal"/>
      <w:lvlText w:val="%1.%2.%3.%4.%5"/>
      <w:lvlJc w:val="left"/>
      <w:pPr>
        <w:ind w:left="1080" w:hanging="1080"/>
      </w:pPr>
      <w:rPr>
        <w:rFonts w:eastAsia="Times New Roman" w:hint="default"/>
        <w:sz w:val="27"/>
      </w:rPr>
    </w:lvl>
    <w:lvl w:ilvl="5">
      <w:start w:val="1"/>
      <w:numFmt w:val="decimal"/>
      <w:lvlText w:val="%1.%2.%3.%4.%5.%6"/>
      <w:lvlJc w:val="left"/>
      <w:pPr>
        <w:ind w:left="1080" w:hanging="1080"/>
      </w:pPr>
      <w:rPr>
        <w:rFonts w:eastAsia="Times New Roman" w:hint="default"/>
        <w:sz w:val="27"/>
      </w:rPr>
    </w:lvl>
    <w:lvl w:ilvl="6">
      <w:start w:val="1"/>
      <w:numFmt w:val="decimal"/>
      <w:lvlText w:val="%1.%2.%3.%4.%5.%6.%7"/>
      <w:lvlJc w:val="left"/>
      <w:pPr>
        <w:ind w:left="1440" w:hanging="1440"/>
      </w:pPr>
      <w:rPr>
        <w:rFonts w:eastAsia="Times New Roman" w:hint="default"/>
        <w:sz w:val="27"/>
      </w:rPr>
    </w:lvl>
    <w:lvl w:ilvl="7">
      <w:start w:val="1"/>
      <w:numFmt w:val="decimal"/>
      <w:lvlText w:val="%1.%2.%3.%4.%5.%6.%7.%8"/>
      <w:lvlJc w:val="left"/>
      <w:pPr>
        <w:ind w:left="1440" w:hanging="1440"/>
      </w:pPr>
      <w:rPr>
        <w:rFonts w:eastAsia="Times New Roman" w:hint="default"/>
        <w:sz w:val="27"/>
      </w:rPr>
    </w:lvl>
    <w:lvl w:ilvl="8">
      <w:start w:val="1"/>
      <w:numFmt w:val="decimal"/>
      <w:lvlText w:val="%1.%2.%3.%4.%5.%6.%7.%8.%9"/>
      <w:lvlJc w:val="left"/>
      <w:pPr>
        <w:ind w:left="1800" w:hanging="1800"/>
      </w:pPr>
      <w:rPr>
        <w:rFonts w:eastAsia="Times New Roman" w:hint="default"/>
        <w:sz w:val="27"/>
      </w:rPr>
    </w:lvl>
  </w:abstractNum>
  <w:abstractNum w:abstractNumId="10" w15:restartNumberingAfterBreak="0">
    <w:nsid w:val="222D3FE5"/>
    <w:multiLevelType w:val="multilevel"/>
    <w:tmpl w:val="FE5E051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26A65D17"/>
    <w:multiLevelType w:val="multilevel"/>
    <w:tmpl w:val="E5465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BD61E3"/>
    <w:multiLevelType w:val="multilevel"/>
    <w:tmpl w:val="3B20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E178FC"/>
    <w:multiLevelType w:val="multilevel"/>
    <w:tmpl w:val="5518D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562CC5"/>
    <w:multiLevelType w:val="hybridMultilevel"/>
    <w:tmpl w:val="E1EEF634"/>
    <w:lvl w:ilvl="0" w:tplc="04160003">
      <w:start w:val="1"/>
      <w:numFmt w:val="bullet"/>
      <w:lvlText w:val="o"/>
      <w:lvlJc w:val="left"/>
      <w:pPr>
        <w:ind w:left="1428" w:hanging="360"/>
      </w:pPr>
      <w:rPr>
        <w:rFonts w:ascii="Courier New" w:hAnsi="Courier New" w:cs="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5" w15:restartNumberingAfterBreak="0">
    <w:nsid w:val="37EF7EA1"/>
    <w:multiLevelType w:val="hybridMultilevel"/>
    <w:tmpl w:val="1FD0BD18"/>
    <w:lvl w:ilvl="0" w:tplc="170C7C6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3E034348"/>
    <w:multiLevelType w:val="multilevel"/>
    <w:tmpl w:val="1054D05A"/>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eastAsiaTheme="minorHAnsi" w:hint="default"/>
        <w:color w:val="auto"/>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080" w:hanging="720"/>
      </w:pPr>
      <w:rPr>
        <w:rFonts w:eastAsiaTheme="minorHAnsi" w:hint="default"/>
        <w:color w:val="auto"/>
      </w:rPr>
    </w:lvl>
    <w:lvl w:ilvl="4">
      <w:start w:val="1"/>
      <w:numFmt w:val="decimal"/>
      <w:isLgl/>
      <w:lvlText w:val="%1.%2.%3.%4.%5."/>
      <w:lvlJc w:val="left"/>
      <w:pPr>
        <w:ind w:left="1440" w:hanging="1080"/>
      </w:pPr>
      <w:rPr>
        <w:rFonts w:eastAsiaTheme="minorHAnsi" w:hint="default"/>
        <w:color w:val="auto"/>
      </w:rPr>
    </w:lvl>
    <w:lvl w:ilvl="5">
      <w:start w:val="1"/>
      <w:numFmt w:val="decimal"/>
      <w:isLgl/>
      <w:lvlText w:val="%1.%2.%3.%4.%5.%6."/>
      <w:lvlJc w:val="left"/>
      <w:pPr>
        <w:ind w:left="1440" w:hanging="1080"/>
      </w:pPr>
      <w:rPr>
        <w:rFonts w:eastAsiaTheme="minorHAnsi" w:hint="default"/>
        <w:color w:val="auto"/>
      </w:rPr>
    </w:lvl>
    <w:lvl w:ilvl="6">
      <w:start w:val="1"/>
      <w:numFmt w:val="decimal"/>
      <w:isLgl/>
      <w:lvlText w:val="%1.%2.%3.%4.%5.%6.%7."/>
      <w:lvlJc w:val="left"/>
      <w:pPr>
        <w:ind w:left="1800" w:hanging="1440"/>
      </w:pPr>
      <w:rPr>
        <w:rFonts w:eastAsiaTheme="minorHAnsi" w:hint="default"/>
        <w:color w:val="auto"/>
      </w:rPr>
    </w:lvl>
    <w:lvl w:ilvl="7">
      <w:start w:val="1"/>
      <w:numFmt w:val="decimal"/>
      <w:isLgl/>
      <w:lvlText w:val="%1.%2.%3.%4.%5.%6.%7.%8."/>
      <w:lvlJc w:val="left"/>
      <w:pPr>
        <w:ind w:left="1800" w:hanging="1440"/>
      </w:pPr>
      <w:rPr>
        <w:rFonts w:eastAsiaTheme="minorHAnsi" w:hint="default"/>
        <w:color w:val="auto"/>
      </w:rPr>
    </w:lvl>
    <w:lvl w:ilvl="8">
      <w:start w:val="1"/>
      <w:numFmt w:val="decimal"/>
      <w:isLgl/>
      <w:lvlText w:val="%1.%2.%3.%4.%5.%6.%7.%8.%9."/>
      <w:lvlJc w:val="left"/>
      <w:pPr>
        <w:ind w:left="2160" w:hanging="1800"/>
      </w:pPr>
      <w:rPr>
        <w:rFonts w:eastAsiaTheme="minorHAnsi" w:hint="default"/>
        <w:color w:val="auto"/>
      </w:rPr>
    </w:lvl>
  </w:abstractNum>
  <w:abstractNum w:abstractNumId="17" w15:restartNumberingAfterBreak="0">
    <w:nsid w:val="43752047"/>
    <w:multiLevelType w:val="multilevel"/>
    <w:tmpl w:val="F78C7BC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214C92"/>
    <w:multiLevelType w:val="multilevel"/>
    <w:tmpl w:val="A8762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1D29ED"/>
    <w:multiLevelType w:val="multilevel"/>
    <w:tmpl w:val="4E8CD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437A2E"/>
    <w:multiLevelType w:val="hybridMultilevel"/>
    <w:tmpl w:val="5B3C6B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05E2FDC"/>
    <w:multiLevelType w:val="hybridMultilevel"/>
    <w:tmpl w:val="843A2F82"/>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8763E24"/>
    <w:multiLevelType w:val="hybridMultilevel"/>
    <w:tmpl w:val="395A831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3" w15:restartNumberingAfterBreak="0">
    <w:nsid w:val="78051EB1"/>
    <w:multiLevelType w:val="hybridMultilevel"/>
    <w:tmpl w:val="5E22CF64"/>
    <w:lvl w:ilvl="0" w:tplc="04160011">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4" w15:restartNumberingAfterBreak="0">
    <w:nsid w:val="7D156EDB"/>
    <w:multiLevelType w:val="hybridMultilevel"/>
    <w:tmpl w:val="2A1CF5CC"/>
    <w:lvl w:ilvl="0" w:tplc="265CE466">
      <w:numFmt w:val="bullet"/>
      <w:lvlText w:val="•"/>
      <w:lvlJc w:val="left"/>
      <w:pPr>
        <w:ind w:left="1070" w:hanging="360"/>
      </w:pPr>
      <w:rPr>
        <w:rFonts w:hint="default"/>
        <w:lang w:val="pt-PT" w:eastAsia="en-US" w:bidi="ar-SA"/>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25" w15:restartNumberingAfterBreak="0">
    <w:nsid w:val="7EE44C3E"/>
    <w:multiLevelType w:val="multilevel"/>
    <w:tmpl w:val="7CD4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780305">
    <w:abstractNumId w:val="12"/>
  </w:num>
  <w:num w:numId="2" w16cid:durableId="542714976">
    <w:abstractNumId w:val="23"/>
  </w:num>
  <w:num w:numId="3" w16cid:durableId="999114769">
    <w:abstractNumId w:val="4"/>
  </w:num>
  <w:num w:numId="4" w16cid:durableId="2085763922">
    <w:abstractNumId w:val="17"/>
  </w:num>
  <w:num w:numId="5" w16cid:durableId="1975986654">
    <w:abstractNumId w:val="22"/>
  </w:num>
  <w:num w:numId="6" w16cid:durableId="1715933358">
    <w:abstractNumId w:val="14"/>
  </w:num>
  <w:num w:numId="7" w16cid:durableId="2129927339">
    <w:abstractNumId w:val="24"/>
  </w:num>
  <w:num w:numId="8" w16cid:durableId="940260646">
    <w:abstractNumId w:val="6"/>
  </w:num>
  <w:num w:numId="9" w16cid:durableId="1118522342">
    <w:abstractNumId w:val="11"/>
  </w:num>
  <w:num w:numId="10" w16cid:durableId="1075779769">
    <w:abstractNumId w:val="2"/>
  </w:num>
  <w:num w:numId="11" w16cid:durableId="393047878">
    <w:abstractNumId w:val="13"/>
  </w:num>
  <w:num w:numId="12" w16cid:durableId="16930034">
    <w:abstractNumId w:val="19"/>
  </w:num>
  <w:num w:numId="13" w16cid:durableId="346761086">
    <w:abstractNumId w:val="8"/>
  </w:num>
  <w:num w:numId="14" w16cid:durableId="2119447613">
    <w:abstractNumId w:val="0"/>
  </w:num>
  <w:num w:numId="15" w16cid:durableId="1512061944">
    <w:abstractNumId w:val="1"/>
  </w:num>
  <w:num w:numId="16" w16cid:durableId="1141919187">
    <w:abstractNumId w:val="18"/>
  </w:num>
  <w:num w:numId="17" w16cid:durableId="347145917">
    <w:abstractNumId w:val="5"/>
  </w:num>
  <w:num w:numId="18" w16cid:durableId="1080559593">
    <w:abstractNumId w:val="16"/>
  </w:num>
  <w:num w:numId="19" w16cid:durableId="595090024">
    <w:abstractNumId w:val="20"/>
  </w:num>
  <w:num w:numId="20" w16cid:durableId="1149396075">
    <w:abstractNumId w:val="7"/>
  </w:num>
  <w:num w:numId="21" w16cid:durableId="1470173175">
    <w:abstractNumId w:val="25"/>
  </w:num>
  <w:num w:numId="22" w16cid:durableId="1252936241">
    <w:abstractNumId w:val="21"/>
  </w:num>
  <w:num w:numId="23" w16cid:durableId="1449736253">
    <w:abstractNumId w:val="3"/>
  </w:num>
  <w:num w:numId="24" w16cid:durableId="2135054511">
    <w:abstractNumId w:val="10"/>
  </w:num>
  <w:num w:numId="25" w16cid:durableId="383257283">
    <w:abstractNumId w:val="15"/>
  </w:num>
  <w:num w:numId="26" w16cid:durableId="4552931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3D"/>
    <w:rsid w:val="00001C83"/>
    <w:rsid w:val="0000230D"/>
    <w:rsid w:val="00004AF0"/>
    <w:rsid w:val="00010813"/>
    <w:rsid w:val="00011584"/>
    <w:rsid w:val="00012720"/>
    <w:rsid w:val="0002784E"/>
    <w:rsid w:val="00036870"/>
    <w:rsid w:val="000368F9"/>
    <w:rsid w:val="000422BE"/>
    <w:rsid w:val="00044E5B"/>
    <w:rsid w:val="00050E71"/>
    <w:rsid w:val="000640F5"/>
    <w:rsid w:val="00075740"/>
    <w:rsid w:val="00075B83"/>
    <w:rsid w:val="0008547C"/>
    <w:rsid w:val="00091D55"/>
    <w:rsid w:val="00092345"/>
    <w:rsid w:val="00093850"/>
    <w:rsid w:val="000944A2"/>
    <w:rsid w:val="000A52B6"/>
    <w:rsid w:val="000B0B60"/>
    <w:rsid w:val="000B1DA9"/>
    <w:rsid w:val="000B284E"/>
    <w:rsid w:val="000B2ADB"/>
    <w:rsid w:val="000B63B0"/>
    <w:rsid w:val="000C3933"/>
    <w:rsid w:val="000C59AF"/>
    <w:rsid w:val="000C7EBC"/>
    <w:rsid w:val="000F731C"/>
    <w:rsid w:val="00121D8E"/>
    <w:rsid w:val="001263C9"/>
    <w:rsid w:val="00127734"/>
    <w:rsid w:val="00127A00"/>
    <w:rsid w:val="00130FCB"/>
    <w:rsid w:val="001324EC"/>
    <w:rsid w:val="001416EF"/>
    <w:rsid w:val="00142AF4"/>
    <w:rsid w:val="001449BB"/>
    <w:rsid w:val="00160C04"/>
    <w:rsid w:val="00160DD2"/>
    <w:rsid w:val="00160E40"/>
    <w:rsid w:val="0017133C"/>
    <w:rsid w:val="00173C86"/>
    <w:rsid w:val="00173DE1"/>
    <w:rsid w:val="00174A6C"/>
    <w:rsid w:val="0017638A"/>
    <w:rsid w:val="00182DDB"/>
    <w:rsid w:val="00184493"/>
    <w:rsid w:val="00193381"/>
    <w:rsid w:val="001A3A68"/>
    <w:rsid w:val="001A70B5"/>
    <w:rsid w:val="001A71F7"/>
    <w:rsid w:val="001A7CBD"/>
    <w:rsid w:val="001B1174"/>
    <w:rsid w:val="001B7563"/>
    <w:rsid w:val="001D0325"/>
    <w:rsid w:val="001D3C60"/>
    <w:rsid w:val="001D4168"/>
    <w:rsid w:val="001D5C2C"/>
    <w:rsid w:val="001E0F19"/>
    <w:rsid w:val="001E19C8"/>
    <w:rsid w:val="001E1D59"/>
    <w:rsid w:val="001E550E"/>
    <w:rsid w:val="001F0AEA"/>
    <w:rsid w:val="001F191D"/>
    <w:rsid w:val="001F5041"/>
    <w:rsid w:val="001F7631"/>
    <w:rsid w:val="002002E9"/>
    <w:rsid w:val="0020332F"/>
    <w:rsid w:val="002163C8"/>
    <w:rsid w:val="00227C97"/>
    <w:rsid w:val="00231D03"/>
    <w:rsid w:val="00243B58"/>
    <w:rsid w:val="00252C2F"/>
    <w:rsid w:val="00253FA4"/>
    <w:rsid w:val="0025714C"/>
    <w:rsid w:val="00261BC6"/>
    <w:rsid w:val="00264DF4"/>
    <w:rsid w:val="00270669"/>
    <w:rsid w:val="00294A2A"/>
    <w:rsid w:val="002A483F"/>
    <w:rsid w:val="002A6AC6"/>
    <w:rsid w:val="002B4CEB"/>
    <w:rsid w:val="002B78E7"/>
    <w:rsid w:val="002C2198"/>
    <w:rsid w:val="002C5701"/>
    <w:rsid w:val="002C63E2"/>
    <w:rsid w:val="002C7B61"/>
    <w:rsid w:val="002D03C9"/>
    <w:rsid w:val="002D2554"/>
    <w:rsid w:val="002E00CE"/>
    <w:rsid w:val="002E1679"/>
    <w:rsid w:val="002E2989"/>
    <w:rsid w:val="002F68A0"/>
    <w:rsid w:val="002F743F"/>
    <w:rsid w:val="00300618"/>
    <w:rsid w:val="00306B0C"/>
    <w:rsid w:val="00312AF7"/>
    <w:rsid w:val="00323815"/>
    <w:rsid w:val="00323939"/>
    <w:rsid w:val="00324C8C"/>
    <w:rsid w:val="003252B1"/>
    <w:rsid w:val="00331C74"/>
    <w:rsid w:val="00331CB3"/>
    <w:rsid w:val="00331F8A"/>
    <w:rsid w:val="003370BF"/>
    <w:rsid w:val="00341133"/>
    <w:rsid w:val="00345EEC"/>
    <w:rsid w:val="00347C70"/>
    <w:rsid w:val="003522AE"/>
    <w:rsid w:val="00356EFB"/>
    <w:rsid w:val="00361153"/>
    <w:rsid w:val="003645D1"/>
    <w:rsid w:val="00364F85"/>
    <w:rsid w:val="00365625"/>
    <w:rsid w:val="00366319"/>
    <w:rsid w:val="0036798D"/>
    <w:rsid w:val="00371049"/>
    <w:rsid w:val="0037784E"/>
    <w:rsid w:val="00377E23"/>
    <w:rsid w:val="003A339F"/>
    <w:rsid w:val="003B3992"/>
    <w:rsid w:val="003B4E5F"/>
    <w:rsid w:val="003C0E62"/>
    <w:rsid w:val="003C59B0"/>
    <w:rsid w:val="003C6490"/>
    <w:rsid w:val="003D5DF4"/>
    <w:rsid w:val="003E5507"/>
    <w:rsid w:val="003F2BD7"/>
    <w:rsid w:val="003F5923"/>
    <w:rsid w:val="003F6722"/>
    <w:rsid w:val="003F6EB8"/>
    <w:rsid w:val="0040466B"/>
    <w:rsid w:val="0041100F"/>
    <w:rsid w:val="0041160D"/>
    <w:rsid w:val="0041244D"/>
    <w:rsid w:val="00422381"/>
    <w:rsid w:val="0042278A"/>
    <w:rsid w:val="00427D5C"/>
    <w:rsid w:val="00430152"/>
    <w:rsid w:val="00431B64"/>
    <w:rsid w:val="00435A4C"/>
    <w:rsid w:val="00436BDC"/>
    <w:rsid w:val="00436F91"/>
    <w:rsid w:val="00442A39"/>
    <w:rsid w:val="00444E49"/>
    <w:rsid w:val="0044570D"/>
    <w:rsid w:val="004475BE"/>
    <w:rsid w:val="00450549"/>
    <w:rsid w:val="00450F17"/>
    <w:rsid w:val="00455410"/>
    <w:rsid w:val="00456352"/>
    <w:rsid w:val="004638C1"/>
    <w:rsid w:val="00464024"/>
    <w:rsid w:val="00464D7F"/>
    <w:rsid w:val="00474F6B"/>
    <w:rsid w:val="00480BCE"/>
    <w:rsid w:val="00485478"/>
    <w:rsid w:val="0048648A"/>
    <w:rsid w:val="00487F61"/>
    <w:rsid w:val="004C693F"/>
    <w:rsid w:val="004C6EBB"/>
    <w:rsid w:val="004F03E3"/>
    <w:rsid w:val="004F6FE5"/>
    <w:rsid w:val="004F7A1A"/>
    <w:rsid w:val="00506687"/>
    <w:rsid w:val="005074E8"/>
    <w:rsid w:val="0050761C"/>
    <w:rsid w:val="005139FB"/>
    <w:rsid w:val="0051508A"/>
    <w:rsid w:val="00515120"/>
    <w:rsid w:val="005214A4"/>
    <w:rsid w:val="00522490"/>
    <w:rsid w:val="00525466"/>
    <w:rsid w:val="00530B04"/>
    <w:rsid w:val="00533096"/>
    <w:rsid w:val="005342DC"/>
    <w:rsid w:val="00541D57"/>
    <w:rsid w:val="00541F44"/>
    <w:rsid w:val="00555B51"/>
    <w:rsid w:val="005654E4"/>
    <w:rsid w:val="00566656"/>
    <w:rsid w:val="00567069"/>
    <w:rsid w:val="00581982"/>
    <w:rsid w:val="00585B3C"/>
    <w:rsid w:val="00593F28"/>
    <w:rsid w:val="005A6271"/>
    <w:rsid w:val="005A76C5"/>
    <w:rsid w:val="005B023B"/>
    <w:rsid w:val="005B60F6"/>
    <w:rsid w:val="005C0F0C"/>
    <w:rsid w:val="005D0D84"/>
    <w:rsid w:val="005D2776"/>
    <w:rsid w:val="005E0C3C"/>
    <w:rsid w:val="005E167E"/>
    <w:rsid w:val="005E195B"/>
    <w:rsid w:val="005E4879"/>
    <w:rsid w:val="00605724"/>
    <w:rsid w:val="00611E8C"/>
    <w:rsid w:val="006133E7"/>
    <w:rsid w:val="00623A73"/>
    <w:rsid w:val="00652722"/>
    <w:rsid w:val="00656960"/>
    <w:rsid w:val="0066289F"/>
    <w:rsid w:val="00664172"/>
    <w:rsid w:val="006647DF"/>
    <w:rsid w:val="006647EE"/>
    <w:rsid w:val="0066575D"/>
    <w:rsid w:val="006715C1"/>
    <w:rsid w:val="00674D16"/>
    <w:rsid w:val="00674E24"/>
    <w:rsid w:val="006822B0"/>
    <w:rsid w:val="00685F91"/>
    <w:rsid w:val="006948B5"/>
    <w:rsid w:val="00695A6D"/>
    <w:rsid w:val="006965C1"/>
    <w:rsid w:val="006A0934"/>
    <w:rsid w:val="006A0FCE"/>
    <w:rsid w:val="006A2507"/>
    <w:rsid w:val="006A282B"/>
    <w:rsid w:val="006A57AD"/>
    <w:rsid w:val="006A7709"/>
    <w:rsid w:val="006B1DF4"/>
    <w:rsid w:val="006B5F5E"/>
    <w:rsid w:val="006B6EB4"/>
    <w:rsid w:val="006C7C3F"/>
    <w:rsid w:val="006D2727"/>
    <w:rsid w:val="006D6D96"/>
    <w:rsid w:val="006D7E61"/>
    <w:rsid w:val="006F1E2A"/>
    <w:rsid w:val="006F2584"/>
    <w:rsid w:val="006F7E21"/>
    <w:rsid w:val="00702D21"/>
    <w:rsid w:val="00724E9A"/>
    <w:rsid w:val="00727B59"/>
    <w:rsid w:val="00734A37"/>
    <w:rsid w:val="00736309"/>
    <w:rsid w:val="00740750"/>
    <w:rsid w:val="0074383E"/>
    <w:rsid w:val="00744D55"/>
    <w:rsid w:val="00746ECB"/>
    <w:rsid w:val="00750856"/>
    <w:rsid w:val="007664D6"/>
    <w:rsid w:val="007755DC"/>
    <w:rsid w:val="007803F0"/>
    <w:rsid w:val="007923C6"/>
    <w:rsid w:val="0079245C"/>
    <w:rsid w:val="007A0DB2"/>
    <w:rsid w:val="007A2F25"/>
    <w:rsid w:val="007B3D32"/>
    <w:rsid w:val="007B491A"/>
    <w:rsid w:val="007C2B14"/>
    <w:rsid w:val="007C2DFC"/>
    <w:rsid w:val="007C3CEB"/>
    <w:rsid w:val="007C3FC3"/>
    <w:rsid w:val="007C6FAA"/>
    <w:rsid w:val="007D2735"/>
    <w:rsid w:val="007E01E6"/>
    <w:rsid w:val="007E7086"/>
    <w:rsid w:val="007E7605"/>
    <w:rsid w:val="008105D6"/>
    <w:rsid w:val="0081231C"/>
    <w:rsid w:val="00815768"/>
    <w:rsid w:val="008175F9"/>
    <w:rsid w:val="00840D43"/>
    <w:rsid w:val="00846204"/>
    <w:rsid w:val="00850AC9"/>
    <w:rsid w:val="0085533C"/>
    <w:rsid w:val="00864F1C"/>
    <w:rsid w:val="00870C96"/>
    <w:rsid w:val="00876172"/>
    <w:rsid w:val="00877B8E"/>
    <w:rsid w:val="00884F7A"/>
    <w:rsid w:val="008A4A32"/>
    <w:rsid w:val="008B0733"/>
    <w:rsid w:val="008B3FD2"/>
    <w:rsid w:val="008B7A43"/>
    <w:rsid w:val="008C064B"/>
    <w:rsid w:val="008C0BE2"/>
    <w:rsid w:val="008C1F97"/>
    <w:rsid w:val="008C3D9A"/>
    <w:rsid w:val="008C6B62"/>
    <w:rsid w:val="008D0DBD"/>
    <w:rsid w:val="008D47AC"/>
    <w:rsid w:val="008E0FDB"/>
    <w:rsid w:val="008E5ABD"/>
    <w:rsid w:val="008F164F"/>
    <w:rsid w:val="008F6B88"/>
    <w:rsid w:val="00901349"/>
    <w:rsid w:val="00903ED2"/>
    <w:rsid w:val="00904BDA"/>
    <w:rsid w:val="009107EF"/>
    <w:rsid w:val="00915291"/>
    <w:rsid w:val="0091718F"/>
    <w:rsid w:val="00926EB0"/>
    <w:rsid w:val="00933C39"/>
    <w:rsid w:val="0093428D"/>
    <w:rsid w:val="00937B97"/>
    <w:rsid w:val="009408BC"/>
    <w:rsid w:val="00942E4F"/>
    <w:rsid w:val="00944206"/>
    <w:rsid w:val="0094480D"/>
    <w:rsid w:val="00951FBF"/>
    <w:rsid w:val="00953EA4"/>
    <w:rsid w:val="00956A7D"/>
    <w:rsid w:val="00957DE3"/>
    <w:rsid w:val="009638DE"/>
    <w:rsid w:val="00965BAB"/>
    <w:rsid w:val="00977F1B"/>
    <w:rsid w:val="00983992"/>
    <w:rsid w:val="00985080"/>
    <w:rsid w:val="0099039C"/>
    <w:rsid w:val="00992098"/>
    <w:rsid w:val="0099786F"/>
    <w:rsid w:val="009A0111"/>
    <w:rsid w:val="009A036A"/>
    <w:rsid w:val="009B3138"/>
    <w:rsid w:val="009B4107"/>
    <w:rsid w:val="009B72B4"/>
    <w:rsid w:val="009C2868"/>
    <w:rsid w:val="009C2C71"/>
    <w:rsid w:val="009C53B9"/>
    <w:rsid w:val="009C623B"/>
    <w:rsid w:val="009C6C7A"/>
    <w:rsid w:val="009D219F"/>
    <w:rsid w:val="009E6459"/>
    <w:rsid w:val="009F66A0"/>
    <w:rsid w:val="00A01AAF"/>
    <w:rsid w:val="00A12623"/>
    <w:rsid w:val="00A13B13"/>
    <w:rsid w:val="00A1670F"/>
    <w:rsid w:val="00A25E79"/>
    <w:rsid w:val="00A33481"/>
    <w:rsid w:val="00A41F5F"/>
    <w:rsid w:val="00A4308D"/>
    <w:rsid w:val="00A50777"/>
    <w:rsid w:val="00A511E6"/>
    <w:rsid w:val="00A540E4"/>
    <w:rsid w:val="00A5489A"/>
    <w:rsid w:val="00A55B40"/>
    <w:rsid w:val="00A61406"/>
    <w:rsid w:val="00A81030"/>
    <w:rsid w:val="00A85F7E"/>
    <w:rsid w:val="00A8669E"/>
    <w:rsid w:val="00A92DDF"/>
    <w:rsid w:val="00A935C2"/>
    <w:rsid w:val="00A94001"/>
    <w:rsid w:val="00A963D5"/>
    <w:rsid w:val="00A974B1"/>
    <w:rsid w:val="00AA2438"/>
    <w:rsid w:val="00AA6DD0"/>
    <w:rsid w:val="00AA7877"/>
    <w:rsid w:val="00AA7A0D"/>
    <w:rsid w:val="00AB635F"/>
    <w:rsid w:val="00AD028B"/>
    <w:rsid w:val="00AE0DBD"/>
    <w:rsid w:val="00AF05EB"/>
    <w:rsid w:val="00AF6D35"/>
    <w:rsid w:val="00B004CB"/>
    <w:rsid w:val="00B00AFD"/>
    <w:rsid w:val="00B0325C"/>
    <w:rsid w:val="00B12FDE"/>
    <w:rsid w:val="00B13E50"/>
    <w:rsid w:val="00B143C9"/>
    <w:rsid w:val="00B16A1F"/>
    <w:rsid w:val="00B222CC"/>
    <w:rsid w:val="00B23BF2"/>
    <w:rsid w:val="00B27808"/>
    <w:rsid w:val="00B3065A"/>
    <w:rsid w:val="00B37B7E"/>
    <w:rsid w:val="00B44E4D"/>
    <w:rsid w:val="00B4675E"/>
    <w:rsid w:val="00B63D4F"/>
    <w:rsid w:val="00B652CA"/>
    <w:rsid w:val="00B666E4"/>
    <w:rsid w:val="00B70B59"/>
    <w:rsid w:val="00B752A7"/>
    <w:rsid w:val="00B85A55"/>
    <w:rsid w:val="00B865C5"/>
    <w:rsid w:val="00B9447E"/>
    <w:rsid w:val="00B95A06"/>
    <w:rsid w:val="00BB61BA"/>
    <w:rsid w:val="00BB6DE6"/>
    <w:rsid w:val="00BB7197"/>
    <w:rsid w:val="00BC05AA"/>
    <w:rsid w:val="00BD211D"/>
    <w:rsid w:val="00BD7729"/>
    <w:rsid w:val="00BE6074"/>
    <w:rsid w:val="00BF4F72"/>
    <w:rsid w:val="00C0288F"/>
    <w:rsid w:val="00C0723D"/>
    <w:rsid w:val="00C126E7"/>
    <w:rsid w:val="00C13BC6"/>
    <w:rsid w:val="00C33F3E"/>
    <w:rsid w:val="00C40533"/>
    <w:rsid w:val="00C47C19"/>
    <w:rsid w:val="00C53336"/>
    <w:rsid w:val="00C56C34"/>
    <w:rsid w:val="00C623B1"/>
    <w:rsid w:val="00C62426"/>
    <w:rsid w:val="00C65A13"/>
    <w:rsid w:val="00C70286"/>
    <w:rsid w:val="00C71F25"/>
    <w:rsid w:val="00C753E3"/>
    <w:rsid w:val="00C7649F"/>
    <w:rsid w:val="00C77F73"/>
    <w:rsid w:val="00C90397"/>
    <w:rsid w:val="00C929A4"/>
    <w:rsid w:val="00C93B83"/>
    <w:rsid w:val="00C94EF1"/>
    <w:rsid w:val="00CA08A1"/>
    <w:rsid w:val="00CC16DC"/>
    <w:rsid w:val="00CC724D"/>
    <w:rsid w:val="00CD321E"/>
    <w:rsid w:val="00CD6082"/>
    <w:rsid w:val="00CD6F44"/>
    <w:rsid w:val="00CE3EBE"/>
    <w:rsid w:val="00CE46D3"/>
    <w:rsid w:val="00CE5A4A"/>
    <w:rsid w:val="00D00E12"/>
    <w:rsid w:val="00D01716"/>
    <w:rsid w:val="00D0199E"/>
    <w:rsid w:val="00D0375B"/>
    <w:rsid w:val="00D1491E"/>
    <w:rsid w:val="00D22BEE"/>
    <w:rsid w:val="00D22C20"/>
    <w:rsid w:val="00D27FB3"/>
    <w:rsid w:val="00D3082A"/>
    <w:rsid w:val="00D4114A"/>
    <w:rsid w:val="00D4118D"/>
    <w:rsid w:val="00D416AE"/>
    <w:rsid w:val="00D52B6A"/>
    <w:rsid w:val="00D54C9A"/>
    <w:rsid w:val="00D71B5A"/>
    <w:rsid w:val="00D90527"/>
    <w:rsid w:val="00D91BBC"/>
    <w:rsid w:val="00D9457B"/>
    <w:rsid w:val="00D9724F"/>
    <w:rsid w:val="00DA43AB"/>
    <w:rsid w:val="00DA6A0F"/>
    <w:rsid w:val="00DB519E"/>
    <w:rsid w:val="00DB7BD0"/>
    <w:rsid w:val="00DC1A19"/>
    <w:rsid w:val="00DD2D29"/>
    <w:rsid w:val="00DE6793"/>
    <w:rsid w:val="00DF0DF4"/>
    <w:rsid w:val="00DF1C66"/>
    <w:rsid w:val="00DF2E7B"/>
    <w:rsid w:val="00E052F5"/>
    <w:rsid w:val="00E07542"/>
    <w:rsid w:val="00E215B2"/>
    <w:rsid w:val="00E22A5E"/>
    <w:rsid w:val="00E248ED"/>
    <w:rsid w:val="00E2695A"/>
    <w:rsid w:val="00E36F0C"/>
    <w:rsid w:val="00E439AE"/>
    <w:rsid w:val="00E50EC8"/>
    <w:rsid w:val="00E515B9"/>
    <w:rsid w:val="00E533DB"/>
    <w:rsid w:val="00E54AC5"/>
    <w:rsid w:val="00E55A32"/>
    <w:rsid w:val="00E60DF7"/>
    <w:rsid w:val="00E67684"/>
    <w:rsid w:val="00E71A6E"/>
    <w:rsid w:val="00E764FF"/>
    <w:rsid w:val="00E76B12"/>
    <w:rsid w:val="00E85FAB"/>
    <w:rsid w:val="00E90FDE"/>
    <w:rsid w:val="00EA0787"/>
    <w:rsid w:val="00EA07CA"/>
    <w:rsid w:val="00EA0F91"/>
    <w:rsid w:val="00EA747C"/>
    <w:rsid w:val="00EB2EB9"/>
    <w:rsid w:val="00EB4721"/>
    <w:rsid w:val="00EC162D"/>
    <w:rsid w:val="00EC2866"/>
    <w:rsid w:val="00EC4529"/>
    <w:rsid w:val="00EC5872"/>
    <w:rsid w:val="00EC7044"/>
    <w:rsid w:val="00ED5AC1"/>
    <w:rsid w:val="00EE543C"/>
    <w:rsid w:val="00EF1A61"/>
    <w:rsid w:val="00EF358E"/>
    <w:rsid w:val="00EF6FA0"/>
    <w:rsid w:val="00F00B8D"/>
    <w:rsid w:val="00F0215C"/>
    <w:rsid w:val="00F023DC"/>
    <w:rsid w:val="00F13D98"/>
    <w:rsid w:val="00F256BC"/>
    <w:rsid w:val="00F30ED1"/>
    <w:rsid w:val="00F30F80"/>
    <w:rsid w:val="00F4540C"/>
    <w:rsid w:val="00F50C22"/>
    <w:rsid w:val="00F51A79"/>
    <w:rsid w:val="00F55EAB"/>
    <w:rsid w:val="00F572C9"/>
    <w:rsid w:val="00F60197"/>
    <w:rsid w:val="00F61179"/>
    <w:rsid w:val="00F7222A"/>
    <w:rsid w:val="00FA0D1C"/>
    <w:rsid w:val="00FA3236"/>
    <w:rsid w:val="00FA5AFD"/>
    <w:rsid w:val="00FA7815"/>
    <w:rsid w:val="00FB6E34"/>
    <w:rsid w:val="00FC59A2"/>
    <w:rsid w:val="00FD33C1"/>
    <w:rsid w:val="00FD6DB2"/>
    <w:rsid w:val="00FE0ABB"/>
    <w:rsid w:val="00FE2759"/>
    <w:rsid w:val="00FE70F0"/>
    <w:rsid w:val="00FF7F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F4DBD"/>
  <w15:docId w15:val="{DE57729B-B498-4D9E-9F70-CD36C023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32F"/>
  </w:style>
  <w:style w:type="paragraph" w:styleId="Ttulo1">
    <w:name w:val="heading 1"/>
    <w:basedOn w:val="Normal"/>
    <w:next w:val="Normal"/>
    <w:link w:val="Ttulo1Char"/>
    <w:uiPriority w:val="9"/>
    <w:qFormat/>
    <w:rsid w:val="0037784E"/>
    <w:pPr>
      <w:keepNext/>
      <w:keepLines/>
      <w:spacing w:after="0" w:line="240" w:lineRule="auto"/>
      <w:outlineLvl w:val="0"/>
    </w:pPr>
    <w:rPr>
      <w:rFonts w:ascii="Times New Roman" w:eastAsiaTheme="majorEastAsia" w:hAnsi="Times New Roman" w:cstheme="majorBidi"/>
      <w:b/>
      <w:sz w:val="24"/>
      <w:szCs w:val="32"/>
    </w:rPr>
  </w:style>
  <w:style w:type="paragraph" w:styleId="Ttulo2">
    <w:name w:val="heading 2"/>
    <w:basedOn w:val="Normal"/>
    <w:next w:val="Normal"/>
    <w:link w:val="Ttulo2Char"/>
    <w:uiPriority w:val="9"/>
    <w:semiHidden/>
    <w:unhideWhenUsed/>
    <w:qFormat/>
    <w:rsid w:val="0037784E"/>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37784E"/>
    <w:pPr>
      <w:keepNext/>
      <w:keepLines/>
      <w:spacing w:before="40" w:after="0" w:line="240" w:lineRule="auto"/>
      <w:jc w:val="both"/>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37784E"/>
    <w:pPr>
      <w:keepNext/>
      <w:keepLines/>
      <w:spacing w:before="40" w:after="0" w:line="240" w:lineRule="auto"/>
      <w:jc w:val="both"/>
      <w:outlineLvl w:val="3"/>
    </w:pPr>
    <w:rPr>
      <w:rFonts w:asciiTheme="majorHAnsi" w:eastAsiaTheme="majorEastAsia" w:hAnsiTheme="majorHAnsi" w:cstheme="majorBidi"/>
      <w:i/>
      <w:iCs/>
      <w:color w:val="2F5496" w:themeColor="accent1" w:themeShade="BF"/>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7784E"/>
    <w:rPr>
      <w:rFonts w:ascii="Times New Roman" w:eastAsiaTheme="majorEastAsia" w:hAnsi="Times New Roman" w:cstheme="majorBidi"/>
      <w:b/>
      <w:sz w:val="24"/>
      <w:szCs w:val="32"/>
    </w:rPr>
  </w:style>
  <w:style w:type="character" w:customStyle="1" w:styleId="Ttulo2Char">
    <w:name w:val="Título 2 Char"/>
    <w:basedOn w:val="Fontepargpadro"/>
    <w:link w:val="Ttulo2"/>
    <w:uiPriority w:val="9"/>
    <w:semiHidden/>
    <w:rsid w:val="0037784E"/>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37784E"/>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37784E"/>
    <w:rPr>
      <w:rFonts w:asciiTheme="majorHAnsi" w:eastAsiaTheme="majorEastAsia" w:hAnsiTheme="majorHAnsi" w:cstheme="majorBidi"/>
      <w:i/>
      <w:iCs/>
      <w:color w:val="2F5496" w:themeColor="accent1" w:themeShade="BF"/>
      <w:sz w:val="24"/>
    </w:rPr>
  </w:style>
  <w:style w:type="character" w:styleId="Forte">
    <w:name w:val="Strong"/>
    <w:basedOn w:val="Fontepargpadro"/>
    <w:uiPriority w:val="22"/>
    <w:qFormat/>
    <w:rsid w:val="0037784E"/>
    <w:rPr>
      <w:b/>
      <w:bCs/>
    </w:rPr>
  </w:style>
  <w:style w:type="paragraph" w:styleId="Textodenotaderodap">
    <w:name w:val="footnote text"/>
    <w:basedOn w:val="Normal"/>
    <w:link w:val="TextodenotaderodapChar"/>
    <w:uiPriority w:val="99"/>
    <w:semiHidden/>
    <w:rsid w:val="0037784E"/>
    <w:pPr>
      <w:spacing w:after="0" w:line="240" w:lineRule="auto"/>
      <w:ind w:firstLine="567"/>
      <w:jc w:val="both"/>
    </w:pPr>
    <w:rPr>
      <w:rFonts w:ascii="Times New Roman" w:eastAsia="Times New Roman" w:hAnsi="Times New Roman" w:cs="Times New Roman"/>
      <w:kern w:val="0"/>
      <w:sz w:val="20"/>
      <w:szCs w:val="20"/>
      <w:lang w:eastAsia="pt-BR"/>
      <w14:ligatures w14:val="none"/>
    </w:rPr>
  </w:style>
  <w:style w:type="character" w:customStyle="1" w:styleId="TextodenotaderodapChar">
    <w:name w:val="Texto de nota de rodapé Char"/>
    <w:basedOn w:val="Fontepargpadro"/>
    <w:link w:val="Textodenotaderodap"/>
    <w:uiPriority w:val="99"/>
    <w:semiHidden/>
    <w:rsid w:val="0037784E"/>
    <w:rPr>
      <w:rFonts w:ascii="Times New Roman" w:eastAsia="Times New Roman" w:hAnsi="Times New Roman" w:cs="Times New Roman"/>
      <w:kern w:val="0"/>
      <w:sz w:val="20"/>
      <w:szCs w:val="20"/>
      <w:lang w:eastAsia="pt-BR"/>
      <w14:ligatures w14:val="none"/>
    </w:rPr>
  </w:style>
  <w:style w:type="character" w:styleId="Refdenotaderodap">
    <w:name w:val="footnote reference"/>
    <w:uiPriority w:val="99"/>
    <w:semiHidden/>
    <w:rsid w:val="0037784E"/>
    <w:rPr>
      <w:rFonts w:cs="Times New Roman"/>
      <w:vertAlign w:val="superscript"/>
    </w:rPr>
  </w:style>
  <w:style w:type="character" w:styleId="Hyperlink">
    <w:name w:val="Hyperlink"/>
    <w:basedOn w:val="Fontepargpadro"/>
    <w:uiPriority w:val="99"/>
    <w:unhideWhenUsed/>
    <w:rsid w:val="0037784E"/>
    <w:rPr>
      <w:color w:val="0563C1" w:themeColor="hyperlink"/>
      <w:u w:val="single"/>
    </w:rPr>
  </w:style>
  <w:style w:type="character" w:customStyle="1" w:styleId="MenoPendente1">
    <w:name w:val="Menção Pendente1"/>
    <w:basedOn w:val="Fontepargpadro"/>
    <w:uiPriority w:val="99"/>
    <w:semiHidden/>
    <w:unhideWhenUsed/>
    <w:rsid w:val="0037784E"/>
    <w:rPr>
      <w:color w:val="605E5C"/>
      <w:shd w:val="clear" w:color="auto" w:fill="E1DFDD"/>
    </w:rPr>
  </w:style>
  <w:style w:type="character" w:styleId="Refdecomentrio">
    <w:name w:val="annotation reference"/>
    <w:basedOn w:val="Fontepargpadro"/>
    <w:uiPriority w:val="99"/>
    <w:semiHidden/>
    <w:unhideWhenUsed/>
    <w:rsid w:val="0037784E"/>
    <w:rPr>
      <w:sz w:val="16"/>
      <w:szCs w:val="16"/>
    </w:rPr>
  </w:style>
  <w:style w:type="paragraph" w:styleId="Textodecomentrio">
    <w:name w:val="annotation text"/>
    <w:basedOn w:val="Normal"/>
    <w:link w:val="TextodecomentrioChar"/>
    <w:uiPriority w:val="99"/>
    <w:unhideWhenUsed/>
    <w:rsid w:val="0037784E"/>
    <w:pPr>
      <w:spacing w:after="0" w:line="240" w:lineRule="auto"/>
      <w:jc w:val="both"/>
    </w:pPr>
    <w:rPr>
      <w:rFonts w:ascii="Times New Roman" w:hAnsi="Times New Roman"/>
      <w:sz w:val="20"/>
      <w:szCs w:val="20"/>
    </w:rPr>
  </w:style>
  <w:style w:type="character" w:customStyle="1" w:styleId="TextodecomentrioChar">
    <w:name w:val="Texto de comentário Char"/>
    <w:basedOn w:val="Fontepargpadro"/>
    <w:link w:val="Textodecomentrio"/>
    <w:uiPriority w:val="99"/>
    <w:rsid w:val="0037784E"/>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37784E"/>
    <w:rPr>
      <w:b/>
      <w:bCs/>
    </w:rPr>
  </w:style>
  <w:style w:type="character" w:customStyle="1" w:styleId="AssuntodocomentrioChar">
    <w:name w:val="Assunto do comentário Char"/>
    <w:basedOn w:val="TextodecomentrioChar"/>
    <w:link w:val="Assuntodocomentrio"/>
    <w:uiPriority w:val="99"/>
    <w:semiHidden/>
    <w:rsid w:val="0037784E"/>
    <w:rPr>
      <w:rFonts w:ascii="Times New Roman" w:hAnsi="Times New Roman"/>
      <w:b/>
      <w:bCs/>
      <w:sz w:val="20"/>
      <w:szCs w:val="20"/>
    </w:rPr>
  </w:style>
  <w:style w:type="character" w:styleId="nfase">
    <w:name w:val="Emphasis"/>
    <w:basedOn w:val="Fontepargpadro"/>
    <w:uiPriority w:val="20"/>
    <w:qFormat/>
    <w:rsid w:val="0037784E"/>
    <w:rPr>
      <w:i/>
      <w:iCs/>
    </w:rPr>
  </w:style>
  <w:style w:type="paragraph" w:customStyle="1" w:styleId="query-text-line">
    <w:name w:val="query-text-line"/>
    <w:basedOn w:val="Normal"/>
    <w:rsid w:val="0037784E"/>
    <w:pPr>
      <w:spacing w:before="100" w:beforeAutospacing="1" w:after="100" w:afterAutospacing="1" w:line="240" w:lineRule="auto"/>
      <w:jc w:val="both"/>
    </w:pPr>
    <w:rPr>
      <w:rFonts w:ascii="Times New Roman" w:eastAsia="Times New Roman" w:hAnsi="Times New Roman" w:cs="Times New Roman"/>
      <w:kern w:val="0"/>
      <w:sz w:val="24"/>
      <w:szCs w:val="24"/>
      <w:lang w:eastAsia="pt-BR"/>
    </w:rPr>
  </w:style>
  <w:style w:type="character" w:customStyle="1" w:styleId="citation-0">
    <w:name w:val="citation-0"/>
    <w:basedOn w:val="Fontepargpadro"/>
    <w:rsid w:val="0037784E"/>
  </w:style>
  <w:style w:type="paragraph" w:styleId="PargrafodaLista">
    <w:name w:val="List Paragraph"/>
    <w:basedOn w:val="Normal"/>
    <w:uiPriority w:val="34"/>
    <w:qFormat/>
    <w:rsid w:val="0037784E"/>
    <w:pPr>
      <w:spacing w:after="0" w:line="240" w:lineRule="auto"/>
      <w:ind w:left="720"/>
      <w:contextualSpacing/>
      <w:jc w:val="both"/>
    </w:pPr>
    <w:rPr>
      <w:rFonts w:ascii="Times New Roman" w:hAnsi="Times New Roman"/>
      <w:sz w:val="24"/>
    </w:rPr>
  </w:style>
  <w:style w:type="character" w:styleId="TextodoEspaoReservado">
    <w:name w:val="Placeholder Text"/>
    <w:basedOn w:val="Fontepargpadro"/>
    <w:uiPriority w:val="99"/>
    <w:semiHidden/>
    <w:rsid w:val="0037784E"/>
    <w:rPr>
      <w:color w:val="808080"/>
    </w:rPr>
  </w:style>
  <w:style w:type="paragraph" w:styleId="Cabealho">
    <w:name w:val="header"/>
    <w:basedOn w:val="Normal"/>
    <w:link w:val="CabealhoChar"/>
    <w:uiPriority w:val="99"/>
    <w:unhideWhenUsed/>
    <w:rsid w:val="0037784E"/>
    <w:pPr>
      <w:tabs>
        <w:tab w:val="center" w:pos="4252"/>
        <w:tab w:val="right" w:pos="8504"/>
      </w:tabs>
      <w:spacing w:after="0" w:line="240" w:lineRule="auto"/>
      <w:jc w:val="both"/>
    </w:pPr>
    <w:rPr>
      <w:rFonts w:ascii="Times New Roman" w:hAnsi="Times New Roman"/>
      <w:sz w:val="24"/>
    </w:rPr>
  </w:style>
  <w:style w:type="character" w:customStyle="1" w:styleId="CabealhoChar">
    <w:name w:val="Cabeçalho Char"/>
    <w:basedOn w:val="Fontepargpadro"/>
    <w:link w:val="Cabealho"/>
    <w:uiPriority w:val="99"/>
    <w:rsid w:val="0037784E"/>
    <w:rPr>
      <w:rFonts w:ascii="Times New Roman" w:hAnsi="Times New Roman"/>
      <w:sz w:val="24"/>
    </w:rPr>
  </w:style>
  <w:style w:type="paragraph" w:styleId="Rodap">
    <w:name w:val="footer"/>
    <w:basedOn w:val="Normal"/>
    <w:link w:val="RodapChar"/>
    <w:uiPriority w:val="99"/>
    <w:unhideWhenUsed/>
    <w:rsid w:val="0037784E"/>
    <w:pPr>
      <w:tabs>
        <w:tab w:val="center" w:pos="4252"/>
        <w:tab w:val="right" w:pos="8504"/>
      </w:tabs>
      <w:spacing w:after="0" w:line="240" w:lineRule="auto"/>
      <w:jc w:val="both"/>
    </w:pPr>
    <w:rPr>
      <w:rFonts w:ascii="Times New Roman" w:hAnsi="Times New Roman"/>
      <w:sz w:val="24"/>
    </w:rPr>
  </w:style>
  <w:style w:type="character" w:customStyle="1" w:styleId="RodapChar">
    <w:name w:val="Rodapé Char"/>
    <w:basedOn w:val="Fontepargpadro"/>
    <w:link w:val="Rodap"/>
    <w:uiPriority w:val="99"/>
    <w:rsid w:val="0037784E"/>
    <w:rPr>
      <w:rFonts w:ascii="Times New Roman" w:hAnsi="Times New Roman"/>
      <w:sz w:val="24"/>
    </w:rPr>
  </w:style>
  <w:style w:type="paragraph" w:styleId="NormalWeb">
    <w:name w:val="Normal (Web)"/>
    <w:basedOn w:val="Normal"/>
    <w:uiPriority w:val="99"/>
    <w:semiHidden/>
    <w:unhideWhenUsed/>
    <w:rsid w:val="0037784E"/>
    <w:pPr>
      <w:spacing w:before="100" w:beforeAutospacing="1" w:after="100" w:afterAutospacing="1" w:line="240" w:lineRule="auto"/>
      <w:jc w:val="both"/>
    </w:pPr>
    <w:rPr>
      <w:rFonts w:ascii="Times New Roman" w:eastAsia="Times New Roman" w:hAnsi="Times New Roman" w:cs="Times New Roman"/>
      <w:kern w:val="0"/>
      <w:sz w:val="24"/>
      <w:szCs w:val="24"/>
      <w:lang w:eastAsia="pt-BR"/>
      <w14:ligatures w14:val="none"/>
    </w:rPr>
  </w:style>
  <w:style w:type="paragraph" w:styleId="Bibliografia">
    <w:name w:val="Bibliography"/>
    <w:basedOn w:val="Normal"/>
    <w:next w:val="Normal"/>
    <w:uiPriority w:val="37"/>
    <w:semiHidden/>
    <w:unhideWhenUsed/>
    <w:rsid w:val="0037784E"/>
    <w:pPr>
      <w:spacing w:after="0" w:line="240" w:lineRule="auto"/>
      <w:jc w:val="both"/>
    </w:pPr>
    <w:rPr>
      <w:rFonts w:ascii="Times New Roman" w:hAnsi="Times New Roman"/>
      <w:sz w:val="24"/>
    </w:rPr>
  </w:style>
  <w:style w:type="character" w:customStyle="1" w:styleId="il">
    <w:name w:val="il"/>
    <w:basedOn w:val="Fontepargpadro"/>
    <w:rsid w:val="0037784E"/>
  </w:style>
  <w:style w:type="paragraph" w:styleId="Corpodetexto">
    <w:name w:val="Body Text"/>
    <w:basedOn w:val="Normal"/>
    <w:link w:val="CorpodetextoChar"/>
    <w:uiPriority w:val="1"/>
    <w:qFormat/>
    <w:rsid w:val="0037784E"/>
    <w:pPr>
      <w:widowControl w:val="0"/>
      <w:autoSpaceDE w:val="0"/>
      <w:autoSpaceDN w:val="0"/>
      <w:spacing w:after="0" w:line="240" w:lineRule="auto"/>
    </w:pPr>
    <w:rPr>
      <w:rFonts w:ascii="Times New Roman" w:eastAsia="Times New Roman" w:hAnsi="Times New Roman" w:cs="Times New Roman"/>
      <w:kern w:val="0"/>
      <w:sz w:val="24"/>
      <w:szCs w:val="24"/>
      <w:lang w:val="pt-PT"/>
      <w14:ligatures w14:val="none"/>
    </w:rPr>
  </w:style>
  <w:style w:type="character" w:customStyle="1" w:styleId="CorpodetextoChar">
    <w:name w:val="Corpo de texto Char"/>
    <w:basedOn w:val="Fontepargpadro"/>
    <w:link w:val="Corpodetexto"/>
    <w:uiPriority w:val="1"/>
    <w:rsid w:val="0037784E"/>
    <w:rPr>
      <w:rFonts w:ascii="Times New Roman" w:eastAsia="Times New Roman" w:hAnsi="Times New Roman" w:cs="Times New Roman"/>
      <w:kern w:val="0"/>
      <w:sz w:val="24"/>
      <w:szCs w:val="24"/>
      <w:lang w:val="pt-PT"/>
      <w14:ligatures w14:val="none"/>
    </w:rPr>
  </w:style>
  <w:style w:type="table" w:customStyle="1" w:styleId="TableNormal">
    <w:name w:val="Table Normal"/>
    <w:uiPriority w:val="2"/>
    <w:semiHidden/>
    <w:unhideWhenUsed/>
    <w:qFormat/>
    <w:rsid w:val="0037784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784E"/>
    <w:pPr>
      <w:widowControl w:val="0"/>
      <w:autoSpaceDE w:val="0"/>
      <w:autoSpaceDN w:val="0"/>
      <w:spacing w:before="14" w:after="0" w:line="240" w:lineRule="auto"/>
      <w:jc w:val="center"/>
    </w:pPr>
    <w:rPr>
      <w:rFonts w:ascii="Times New Roman" w:eastAsia="Times New Roman" w:hAnsi="Times New Roman" w:cs="Times New Roman"/>
      <w:kern w:val="0"/>
      <w:lang w:val="pt-PT"/>
      <w14:ligatures w14:val="none"/>
    </w:rPr>
  </w:style>
  <w:style w:type="table" w:styleId="Tabelacomgrade">
    <w:name w:val="Table Grid"/>
    <w:basedOn w:val="Tabelanormal"/>
    <w:uiPriority w:val="39"/>
    <w:rsid w:val="00377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37784E"/>
    <w:rPr>
      <w:color w:val="954F72" w:themeColor="followedHyperlink"/>
      <w:u w:val="single"/>
    </w:rPr>
  </w:style>
  <w:style w:type="character" w:customStyle="1" w:styleId="relative">
    <w:name w:val="relative"/>
    <w:basedOn w:val="Fontepargpadro"/>
    <w:rsid w:val="0037784E"/>
  </w:style>
  <w:style w:type="paragraph" w:styleId="Textodenotadefim">
    <w:name w:val="endnote text"/>
    <w:basedOn w:val="Normal"/>
    <w:link w:val="TextodenotadefimChar"/>
    <w:uiPriority w:val="99"/>
    <w:semiHidden/>
    <w:unhideWhenUsed/>
    <w:rsid w:val="00B85A5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85A55"/>
    <w:rPr>
      <w:sz w:val="20"/>
      <w:szCs w:val="20"/>
    </w:rPr>
  </w:style>
  <w:style w:type="character" w:styleId="Refdenotadefim">
    <w:name w:val="endnote reference"/>
    <w:basedOn w:val="Fontepargpadro"/>
    <w:uiPriority w:val="99"/>
    <w:semiHidden/>
    <w:unhideWhenUsed/>
    <w:rsid w:val="00B85A55"/>
    <w:rPr>
      <w:vertAlign w:val="superscript"/>
    </w:rPr>
  </w:style>
  <w:style w:type="character" w:customStyle="1" w:styleId="Fontepargpadro1">
    <w:name w:val="Fonte parág. padrão1"/>
    <w:rsid w:val="00E764FF"/>
  </w:style>
  <w:style w:type="character" w:customStyle="1" w:styleId="fontstyle01">
    <w:name w:val="fontstyle01"/>
    <w:basedOn w:val="Fontepargpadro"/>
    <w:rsid w:val="00623A73"/>
    <w:rPr>
      <w:rFonts w:ascii="Times New Roman" w:hAnsi="Times New Roman" w:cs="Times New Roman" w:hint="default"/>
      <w:b w:val="0"/>
      <w:bCs w:val="0"/>
      <w:i w:val="0"/>
      <w:iCs w:val="0"/>
      <w:color w:val="000000"/>
      <w:sz w:val="24"/>
      <w:szCs w:val="24"/>
    </w:rPr>
  </w:style>
  <w:style w:type="character" w:customStyle="1" w:styleId="fontstyle21">
    <w:name w:val="fontstyle21"/>
    <w:basedOn w:val="Fontepargpadro"/>
    <w:rsid w:val="00EC4529"/>
    <w:rPr>
      <w:rFonts w:ascii="Times New Roman" w:hAnsi="Times New Roman" w:cs="Times New Roman" w:hint="default"/>
      <w:b/>
      <w:bCs/>
      <w:i w:val="0"/>
      <w:iCs w:val="0"/>
      <w:color w:val="000000"/>
      <w:sz w:val="24"/>
      <w:szCs w:val="24"/>
    </w:rPr>
  </w:style>
  <w:style w:type="paragraph" w:customStyle="1" w:styleId="ds-markdown-paragraph">
    <w:name w:val="ds-markdown-paragraph"/>
    <w:basedOn w:val="Normal"/>
    <w:rsid w:val="001B117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Reviso">
    <w:name w:val="Revision"/>
    <w:hidden/>
    <w:uiPriority w:val="99"/>
    <w:semiHidden/>
    <w:rsid w:val="001F7631"/>
    <w:pPr>
      <w:spacing w:after="0" w:line="240" w:lineRule="auto"/>
    </w:pPr>
  </w:style>
  <w:style w:type="paragraph" w:styleId="Textodebalo">
    <w:name w:val="Balloon Text"/>
    <w:basedOn w:val="Normal"/>
    <w:link w:val="TextodebaloChar"/>
    <w:uiPriority w:val="99"/>
    <w:semiHidden/>
    <w:unhideWhenUsed/>
    <w:rsid w:val="001416E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416EF"/>
    <w:rPr>
      <w:rFonts w:ascii="Tahoma" w:hAnsi="Tahoma" w:cs="Tahoma"/>
      <w:sz w:val="16"/>
      <w:szCs w:val="16"/>
    </w:rPr>
  </w:style>
  <w:style w:type="character" w:customStyle="1" w:styleId="highlight">
    <w:name w:val="highlight"/>
    <w:basedOn w:val="Fontepargpadro"/>
    <w:rsid w:val="00142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595">
      <w:bodyDiv w:val="1"/>
      <w:marLeft w:val="0"/>
      <w:marRight w:val="0"/>
      <w:marTop w:val="0"/>
      <w:marBottom w:val="0"/>
      <w:divBdr>
        <w:top w:val="none" w:sz="0" w:space="0" w:color="auto"/>
        <w:left w:val="none" w:sz="0" w:space="0" w:color="auto"/>
        <w:bottom w:val="none" w:sz="0" w:space="0" w:color="auto"/>
        <w:right w:val="none" w:sz="0" w:space="0" w:color="auto"/>
      </w:divBdr>
    </w:div>
    <w:div w:id="38172980">
      <w:bodyDiv w:val="1"/>
      <w:marLeft w:val="0"/>
      <w:marRight w:val="0"/>
      <w:marTop w:val="0"/>
      <w:marBottom w:val="0"/>
      <w:divBdr>
        <w:top w:val="none" w:sz="0" w:space="0" w:color="auto"/>
        <w:left w:val="none" w:sz="0" w:space="0" w:color="auto"/>
        <w:bottom w:val="none" w:sz="0" w:space="0" w:color="auto"/>
        <w:right w:val="none" w:sz="0" w:space="0" w:color="auto"/>
      </w:divBdr>
    </w:div>
    <w:div w:id="50077195">
      <w:bodyDiv w:val="1"/>
      <w:marLeft w:val="0"/>
      <w:marRight w:val="0"/>
      <w:marTop w:val="0"/>
      <w:marBottom w:val="0"/>
      <w:divBdr>
        <w:top w:val="none" w:sz="0" w:space="0" w:color="auto"/>
        <w:left w:val="none" w:sz="0" w:space="0" w:color="auto"/>
        <w:bottom w:val="none" w:sz="0" w:space="0" w:color="auto"/>
        <w:right w:val="none" w:sz="0" w:space="0" w:color="auto"/>
      </w:divBdr>
    </w:div>
    <w:div w:id="104885392">
      <w:bodyDiv w:val="1"/>
      <w:marLeft w:val="0"/>
      <w:marRight w:val="0"/>
      <w:marTop w:val="0"/>
      <w:marBottom w:val="0"/>
      <w:divBdr>
        <w:top w:val="none" w:sz="0" w:space="0" w:color="auto"/>
        <w:left w:val="none" w:sz="0" w:space="0" w:color="auto"/>
        <w:bottom w:val="none" w:sz="0" w:space="0" w:color="auto"/>
        <w:right w:val="none" w:sz="0" w:space="0" w:color="auto"/>
      </w:divBdr>
    </w:div>
    <w:div w:id="132020277">
      <w:bodyDiv w:val="1"/>
      <w:marLeft w:val="0"/>
      <w:marRight w:val="0"/>
      <w:marTop w:val="0"/>
      <w:marBottom w:val="0"/>
      <w:divBdr>
        <w:top w:val="none" w:sz="0" w:space="0" w:color="auto"/>
        <w:left w:val="none" w:sz="0" w:space="0" w:color="auto"/>
        <w:bottom w:val="none" w:sz="0" w:space="0" w:color="auto"/>
        <w:right w:val="none" w:sz="0" w:space="0" w:color="auto"/>
      </w:divBdr>
    </w:div>
    <w:div w:id="143086032">
      <w:bodyDiv w:val="1"/>
      <w:marLeft w:val="0"/>
      <w:marRight w:val="0"/>
      <w:marTop w:val="0"/>
      <w:marBottom w:val="0"/>
      <w:divBdr>
        <w:top w:val="none" w:sz="0" w:space="0" w:color="auto"/>
        <w:left w:val="none" w:sz="0" w:space="0" w:color="auto"/>
        <w:bottom w:val="none" w:sz="0" w:space="0" w:color="auto"/>
        <w:right w:val="none" w:sz="0" w:space="0" w:color="auto"/>
      </w:divBdr>
    </w:div>
    <w:div w:id="178280054">
      <w:bodyDiv w:val="1"/>
      <w:marLeft w:val="0"/>
      <w:marRight w:val="0"/>
      <w:marTop w:val="0"/>
      <w:marBottom w:val="0"/>
      <w:divBdr>
        <w:top w:val="none" w:sz="0" w:space="0" w:color="auto"/>
        <w:left w:val="none" w:sz="0" w:space="0" w:color="auto"/>
        <w:bottom w:val="none" w:sz="0" w:space="0" w:color="auto"/>
        <w:right w:val="none" w:sz="0" w:space="0" w:color="auto"/>
      </w:divBdr>
    </w:div>
    <w:div w:id="212738716">
      <w:bodyDiv w:val="1"/>
      <w:marLeft w:val="0"/>
      <w:marRight w:val="0"/>
      <w:marTop w:val="0"/>
      <w:marBottom w:val="0"/>
      <w:divBdr>
        <w:top w:val="none" w:sz="0" w:space="0" w:color="auto"/>
        <w:left w:val="none" w:sz="0" w:space="0" w:color="auto"/>
        <w:bottom w:val="none" w:sz="0" w:space="0" w:color="auto"/>
        <w:right w:val="none" w:sz="0" w:space="0" w:color="auto"/>
      </w:divBdr>
    </w:div>
    <w:div w:id="218521600">
      <w:bodyDiv w:val="1"/>
      <w:marLeft w:val="0"/>
      <w:marRight w:val="0"/>
      <w:marTop w:val="0"/>
      <w:marBottom w:val="0"/>
      <w:divBdr>
        <w:top w:val="none" w:sz="0" w:space="0" w:color="auto"/>
        <w:left w:val="none" w:sz="0" w:space="0" w:color="auto"/>
        <w:bottom w:val="none" w:sz="0" w:space="0" w:color="auto"/>
        <w:right w:val="none" w:sz="0" w:space="0" w:color="auto"/>
      </w:divBdr>
    </w:div>
    <w:div w:id="259222478">
      <w:bodyDiv w:val="1"/>
      <w:marLeft w:val="0"/>
      <w:marRight w:val="0"/>
      <w:marTop w:val="0"/>
      <w:marBottom w:val="0"/>
      <w:divBdr>
        <w:top w:val="none" w:sz="0" w:space="0" w:color="auto"/>
        <w:left w:val="none" w:sz="0" w:space="0" w:color="auto"/>
        <w:bottom w:val="none" w:sz="0" w:space="0" w:color="auto"/>
        <w:right w:val="none" w:sz="0" w:space="0" w:color="auto"/>
      </w:divBdr>
    </w:div>
    <w:div w:id="265583923">
      <w:bodyDiv w:val="1"/>
      <w:marLeft w:val="0"/>
      <w:marRight w:val="0"/>
      <w:marTop w:val="0"/>
      <w:marBottom w:val="0"/>
      <w:divBdr>
        <w:top w:val="none" w:sz="0" w:space="0" w:color="auto"/>
        <w:left w:val="none" w:sz="0" w:space="0" w:color="auto"/>
        <w:bottom w:val="none" w:sz="0" w:space="0" w:color="auto"/>
        <w:right w:val="none" w:sz="0" w:space="0" w:color="auto"/>
      </w:divBdr>
    </w:div>
    <w:div w:id="270824467">
      <w:bodyDiv w:val="1"/>
      <w:marLeft w:val="0"/>
      <w:marRight w:val="0"/>
      <w:marTop w:val="0"/>
      <w:marBottom w:val="0"/>
      <w:divBdr>
        <w:top w:val="none" w:sz="0" w:space="0" w:color="auto"/>
        <w:left w:val="none" w:sz="0" w:space="0" w:color="auto"/>
        <w:bottom w:val="none" w:sz="0" w:space="0" w:color="auto"/>
        <w:right w:val="none" w:sz="0" w:space="0" w:color="auto"/>
      </w:divBdr>
    </w:div>
    <w:div w:id="310864616">
      <w:bodyDiv w:val="1"/>
      <w:marLeft w:val="0"/>
      <w:marRight w:val="0"/>
      <w:marTop w:val="0"/>
      <w:marBottom w:val="0"/>
      <w:divBdr>
        <w:top w:val="none" w:sz="0" w:space="0" w:color="auto"/>
        <w:left w:val="none" w:sz="0" w:space="0" w:color="auto"/>
        <w:bottom w:val="none" w:sz="0" w:space="0" w:color="auto"/>
        <w:right w:val="none" w:sz="0" w:space="0" w:color="auto"/>
      </w:divBdr>
    </w:div>
    <w:div w:id="334306157">
      <w:bodyDiv w:val="1"/>
      <w:marLeft w:val="0"/>
      <w:marRight w:val="0"/>
      <w:marTop w:val="0"/>
      <w:marBottom w:val="0"/>
      <w:divBdr>
        <w:top w:val="none" w:sz="0" w:space="0" w:color="auto"/>
        <w:left w:val="none" w:sz="0" w:space="0" w:color="auto"/>
        <w:bottom w:val="none" w:sz="0" w:space="0" w:color="auto"/>
        <w:right w:val="none" w:sz="0" w:space="0" w:color="auto"/>
      </w:divBdr>
    </w:div>
    <w:div w:id="341248140">
      <w:bodyDiv w:val="1"/>
      <w:marLeft w:val="0"/>
      <w:marRight w:val="0"/>
      <w:marTop w:val="0"/>
      <w:marBottom w:val="0"/>
      <w:divBdr>
        <w:top w:val="none" w:sz="0" w:space="0" w:color="auto"/>
        <w:left w:val="none" w:sz="0" w:space="0" w:color="auto"/>
        <w:bottom w:val="none" w:sz="0" w:space="0" w:color="auto"/>
        <w:right w:val="none" w:sz="0" w:space="0" w:color="auto"/>
      </w:divBdr>
    </w:div>
    <w:div w:id="346563846">
      <w:bodyDiv w:val="1"/>
      <w:marLeft w:val="0"/>
      <w:marRight w:val="0"/>
      <w:marTop w:val="0"/>
      <w:marBottom w:val="0"/>
      <w:divBdr>
        <w:top w:val="none" w:sz="0" w:space="0" w:color="auto"/>
        <w:left w:val="none" w:sz="0" w:space="0" w:color="auto"/>
        <w:bottom w:val="none" w:sz="0" w:space="0" w:color="auto"/>
        <w:right w:val="none" w:sz="0" w:space="0" w:color="auto"/>
      </w:divBdr>
    </w:div>
    <w:div w:id="429281635">
      <w:bodyDiv w:val="1"/>
      <w:marLeft w:val="0"/>
      <w:marRight w:val="0"/>
      <w:marTop w:val="0"/>
      <w:marBottom w:val="0"/>
      <w:divBdr>
        <w:top w:val="none" w:sz="0" w:space="0" w:color="auto"/>
        <w:left w:val="none" w:sz="0" w:space="0" w:color="auto"/>
        <w:bottom w:val="none" w:sz="0" w:space="0" w:color="auto"/>
        <w:right w:val="none" w:sz="0" w:space="0" w:color="auto"/>
      </w:divBdr>
    </w:div>
    <w:div w:id="447939507">
      <w:bodyDiv w:val="1"/>
      <w:marLeft w:val="0"/>
      <w:marRight w:val="0"/>
      <w:marTop w:val="0"/>
      <w:marBottom w:val="0"/>
      <w:divBdr>
        <w:top w:val="none" w:sz="0" w:space="0" w:color="auto"/>
        <w:left w:val="none" w:sz="0" w:space="0" w:color="auto"/>
        <w:bottom w:val="none" w:sz="0" w:space="0" w:color="auto"/>
        <w:right w:val="none" w:sz="0" w:space="0" w:color="auto"/>
      </w:divBdr>
    </w:div>
    <w:div w:id="474490926">
      <w:bodyDiv w:val="1"/>
      <w:marLeft w:val="0"/>
      <w:marRight w:val="0"/>
      <w:marTop w:val="0"/>
      <w:marBottom w:val="0"/>
      <w:divBdr>
        <w:top w:val="none" w:sz="0" w:space="0" w:color="auto"/>
        <w:left w:val="none" w:sz="0" w:space="0" w:color="auto"/>
        <w:bottom w:val="none" w:sz="0" w:space="0" w:color="auto"/>
        <w:right w:val="none" w:sz="0" w:space="0" w:color="auto"/>
      </w:divBdr>
    </w:div>
    <w:div w:id="505631377">
      <w:bodyDiv w:val="1"/>
      <w:marLeft w:val="0"/>
      <w:marRight w:val="0"/>
      <w:marTop w:val="0"/>
      <w:marBottom w:val="0"/>
      <w:divBdr>
        <w:top w:val="none" w:sz="0" w:space="0" w:color="auto"/>
        <w:left w:val="none" w:sz="0" w:space="0" w:color="auto"/>
        <w:bottom w:val="none" w:sz="0" w:space="0" w:color="auto"/>
        <w:right w:val="none" w:sz="0" w:space="0" w:color="auto"/>
      </w:divBdr>
    </w:div>
    <w:div w:id="520970230">
      <w:bodyDiv w:val="1"/>
      <w:marLeft w:val="0"/>
      <w:marRight w:val="0"/>
      <w:marTop w:val="0"/>
      <w:marBottom w:val="0"/>
      <w:divBdr>
        <w:top w:val="none" w:sz="0" w:space="0" w:color="auto"/>
        <w:left w:val="none" w:sz="0" w:space="0" w:color="auto"/>
        <w:bottom w:val="none" w:sz="0" w:space="0" w:color="auto"/>
        <w:right w:val="none" w:sz="0" w:space="0" w:color="auto"/>
      </w:divBdr>
    </w:div>
    <w:div w:id="523324963">
      <w:bodyDiv w:val="1"/>
      <w:marLeft w:val="0"/>
      <w:marRight w:val="0"/>
      <w:marTop w:val="0"/>
      <w:marBottom w:val="0"/>
      <w:divBdr>
        <w:top w:val="none" w:sz="0" w:space="0" w:color="auto"/>
        <w:left w:val="none" w:sz="0" w:space="0" w:color="auto"/>
        <w:bottom w:val="none" w:sz="0" w:space="0" w:color="auto"/>
        <w:right w:val="none" w:sz="0" w:space="0" w:color="auto"/>
      </w:divBdr>
    </w:div>
    <w:div w:id="554971072">
      <w:bodyDiv w:val="1"/>
      <w:marLeft w:val="0"/>
      <w:marRight w:val="0"/>
      <w:marTop w:val="0"/>
      <w:marBottom w:val="0"/>
      <w:divBdr>
        <w:top w:val="none" w:sz="0" w:space="0" w:color="auto"/>
        <w:left w:val="none" w:sz="0" w:space="0" w:color="auto"/>
        <w:bottom w:val="none" w:sz="0" w:space="0" w:color="auto"/>
        <w:right w:val="none" w:sz="0" w:space="0" w:color="auto"/>
      </w:divBdr>
    </w:div>
    <w:div w:id="602764572">
      <w:bodyDiv w:val="1"/>
      <w:marLeft w:val="0"/>
      <w:marRight w:val="0"/>
      <w:marTop w:val="0"/>
      <w:marBottom w:val="0"/>
      <w:divBdr>
        <w:top w:val="none" w:sz="0" w:space="0" w:color="auto"/>
        <w:left w:val="none" w:sz="0" w:space="0" w:color="auto"/>
        <w:bottom w:val="none" w:sz="0" w:space="0" w:color="auto"/>
        <w:right w:val="none" w:sz="0" w:space="0" w:color="auto"/>
      </w:divBdr>
    </w:div>
    <w:div w:id="606042219">
      <w:bodyDiv w:val="1"/>
      <w:marLeft w:val="0"/>
      <w:marRight w:val="0"/>
      <w:marTop w:val="0"/>
      <w:marBottom w:val="0"/>
      <w:divBdr>
        <w:top w:val="none" w:sz="0" w:space="0" w:color="auto"/>
        <w:left w:val="none" w:sz="0" w:space="0" w:color="auto"/>
        <w:bottom w:val="none" w:sz="0" w:space="0" w:color="auto"/>
        <w:right w:val="none" w:sz="0" w:space="0" w:color="auto"/>
      </w:divBdr>
    </w:div>
    <w:div w:id="627474062">
      <w:bodyDiv w:val="1"/>
      <w:marLeft w:val="0"/>
      <w:marRight w:val="0"/>
      <w:marTop w:val="0"/>
      <w:marBottom w:val="0"/>
      <w:divBdr>
        <w:top w:val="none" w:sz="0" w:space="0" w:color="auto"/>
        <w:left w:val="none" w:sz="0" w:space="0" w:color="auto"/>
        <w:bottom w:val="none" w:sz="0" w:space="0" w:color="auto"/>
        <w:right w:val="none" w:sz="0" w:space="0" w:color="auto"/>
      </w:divBdr>
    </w:div>
    <w:div w:id="642389811">
      <w:bodyDiv w:val="1"/>
      <w:marLeft w:val="0"/>
      <w:marRight w:val="0"/>
      <w:marTop w:val="0"/>
      <w:marBottom w:val="0"/>
      <w:divBdr>
        <w:top w:val="none" w:sz="0" w:space="0" w:color="auto"/>
        <w:left w:val="none" w:sz="0" w:space="0" w:color="auto"/>
        <w:bottom w:val="none" w:sz="0" w:space="0" w:color="auto"/>
        <w:right w:val="none" w:sz="0" w:space="0" w:color="auto"/>
      </w:divBdr>
    </w:div>
    <w:div w:id="680082911">
      <w:bodyDiv w:val="1"/>
      <w:marLeft w:val="0"/>
      <w:marRight w:val="0"/>
      <w:marTop w:val="0"/>
      <w:marBottom w:val="0"/>
      <w:divBdr>
        <w:top w:val="none" w:sz="0" w:space="0" w:color="auto"/>
        <w:left w:val="none" w:sz="0" w:space="0" w:color="auto"/>
        <w:bottom w:val="none" w:sz="0" w:space="0" w:color="auto"/>
        <w:right w:val="none" w:sz="0" w:space="0" w:color="auto"/>
      </w:divBdr>
    </w:div>
    <w:div w:id="692194142">
      <w:bodyDiv w:val="1"/>
      <w:marLeft w:val="0"/>
      <w:marRight w:val="0"/>
      <w:marTop w:val="0"/>
      <w:marBottom w:val="0"/>
      <w:divBdr>
        <w:top w:val="none" w:sz="0" w:space="0" w:color="auto"/>
        <w:left w:val="none" w:sz="0" w:space="0" w:color="auto"/>
        <w:bottom w:val="none" w:sz="0" w:space="0" w:color="auto"/>
        <w:right w:val="none" w:sz="0" w:space="0" w:color="auto"/>
      </w:divBdr>
    </w:div>
    <w:div w:id="711149487">
      <w:bodyDiv w:val="1"/>
      <w:marLeft w:val="0"/>
      <w:marRight w:val="0"/>
      <w:marTop w:val="0"/>
      <w:marBottom w:val="0"/>
      <w:divBdr>
        <w:top w:val="none" w:sz="0" w:space="0" w:color="auto"/>
        <w:left w:val="none" w:sz="0" w:space="0" w:color="auto"/>
        <w:bottom w:val="none" w:sz="0" w:space="0" w:color="auto"/>
        <w:right w:val="none" w:sz="0" w:space="0" w:color="auto"/>
      </w:divBdr>
    </w:div>
    <w:div w:id="792099161">
      <w:bodyDiv w:val="1"/>
      <w:marLeft w:val="0"/>
      <w:marRight w:val="0"/>
      <w:marTop w:val="0"/>
      <w:marBottom w:val="0"/>
      <w:divBdr>
        <w:top w:val="none" w:sz="0" w:space="0" w:color="auto"/>
        <w:left w:val="none" w:sz="0" w:space="0" w:color="auto"/>
        <w:bottom w:val="none" w:sz="0" w:space="0" w:color="auto"/>
        <w:right w:val="none" w:sz="0" w:space="0" w:color="auto"/>
      </w:divBdr>
    </w:div>
    <w:div w:id="820191473">
      <w:bodyDiv w:val="1"/>
      <w:marLeft w:val="0"/>
      <w:marRight w:val="0"/>
      <w:marTop w:val="0"/>
      <w:marBottom w:val="0"/>
      <w:divBdr>
        <w:top w:val="none" w:sz="0" w:space="0" w:color="auto"/>
        <w:left w:val="none" w:sz="0" w:space="0" w:color="auto"/>
        <w:bottom w:val="none" w:sz="0" w:space="0" w:color="auto"/>
        <w:right w:val="none" w:sz="0" w:space="0" w:color="auto"/>
      </w:divBdr>
    </w:div>
    <w:div w:id="829708607">
      <w:bodyDiv w:val="1"/>
      <w:marLeft w:val="0"/>
      <w:marRight w:val="0"/>
      <w:marTop w:val="0"/>
      <w:marBottom w:val="0"/>
      <w:divBdr>
        <w:top w:val="none" w:sz="0" w:space="0" w:color="auto"/>
        <w:left w:val="none" w:sz="0" w:space="0" w:color="auto"/>
        <w:bottom w:val="none" w:sz="0" w:space="0" w:color="auto"/>
        <w:right w:val="none" w:sz="0" w:space="0" w:color="auto"/>
      </w:divBdr>
    </w:div>
    <w:div w:id="830678153">
      <w:bodyDiv w:val="1"/>
      <w:marLeft w:val="0"/>
      <w:marRight w:val="0"/>
      <w:marTop w:val="0"/>
      <w:marBottom w:val="0"/>
      <w:divBdr>
        <w:top w:val="none" w:sz="0" w:space="0" w:color="auto"/>
        <w:left w:val="none" w:sz="0" w:space="0" w:color="auto"/>
        <w:bottom w:val="none" w:sz="0" w:space="0" w:color="auto"/>
        <w:right w:val="none" w:sz="0" w:space="0" w:color="auto"/>
      </w:divBdr>
    </w:div>
    <w:div w:id="877426946">
      <w:bodyDiv w:val="1"/>
      <w:marLeft w:val="0"/>
      <w:marRight w:val="0"/>
      <w:marTop w:val="0"/>
      <w:marBottom w:val="0"/>
      <w:divBdr>
        <w:top w:val="none" w:sz="0" w:space="0" w:color="auto"/>
        <w:left w:val="none" w:sz="0" w:space="0" w:color="auto"/>
        <w:bottom w:val="none" w:sz="0" w:space="0" w:color="auto"/>
        <w:right w:val="none" w:sz="0" w:space="0" w:color="auto"/>
      </w:divBdr>
    </w:div>
    <w:div w:id="904412032">
      <w:bodyDiv w:val="1"/>
      <w:marLeft w:val="0"/>
      <w:marRight w:val="0"/>
      <w:marTop w:val="0"/>
      <w:marBottom w:val="0"/>
      <w:divBdr>
        <w:top w:val="none" w:sz="0" w:space="0" w:color="auto"/>
        <w:left w:val="none" w:sz="0" w:space="0" w:color="auto"/>
        <w:bottom w:val="none" w:sz="0" w:space="0" w:color="auto"/>
        <w:right w:val="none" w:sz="0" w:space="0" w:color="auto"/>
      </w:divBdr>
    </w:div>
    <w:div w:id="920526559">
      <w:bodyDiv w:val="1"/>
      <w:marLeft w:val="0"/>
      <w:marRight w:val="0"/>
      <w:marTop w:val="0"/>
      <w:marBottom w:val="0"/>
      <w:divBdr>
        <w:top w:val="none" w:sz="0" w:space="0" w:color="auto"/>
        <w:left w:val="none" w:sz="0" w:space="0" w:color="auto"/>
        <w:bottom w:val="none" w:sz="0" w:space="0" w:color="auto"/>
        <w:right w:val="none" w:sz="0" w:space="0" w:color="auto"/>
      </w:divBdr>
    </w:div>
    <w:div w:id="946816869">
      <w:bodyDiv w:val="1"/>
      <w:marLeft w:val="0"/>
      <w:marRight w:val="0"/>
      <w:marTop w:val="0"/>
      <w:marBottom w:val="0"/>
      <w:divBdr>
        <w:top w:val="none" w:sz="0" w:space="0" w:color="auto"/>
        <w:left w:val="none" w:sz="0" w:space="0" w:color="auto"/>
        <w:bottom w:val="none" w:sz="0" w:space="0" w:color="auto"/>
        <w:right w:val="none" w:sz="0" w:space="0" w:color="auto"/>
      </w:divBdr>
    </w:div>
    <w:div w:id="960188372">
      <w:bodyDiv w:val="1"/>
      <w:marLeft w:val="0"/>
      <w:marRight w:val="0"/>
      <w:marTop w:val="0"/>
      <w:marBottom w:val="0"/>
      <w:divBdr>
        <w:top w:val="none" w:sz="0" w:space="0" w:color="auto"/>
        <w:left w:val="none" w:sz="0" w:space="0" w:color="auto"/>
        <w:bottom w:val="none" w:sz="0" w:space="0" w:color="auto"/>
        <w:right w:val="none" w:sz="0" w:space="0" w:color="auto"/>
      </w:divBdr>
    </w:div>
    <w:div w:id="997154236">
      <w:bodyDiv w:val="1"/>
      <w:marLeft w:val="0"/>
      <w:marRight w:val="0"/>
      <w:marTop w:val="0"/>
      <w:marBottom w:val="0"/>
      <w:divBdr>
        <w:top w:val="none" w:sz="0" w:space="0" w:color="auto"/>
        <w:left w:val="none" w:sz="0" w:space="0" w:color="auto"/>
        <w:bottom w:val="none" w:sz="0" w:space="0" w:color="auto"/>
        <w:right w:val="none" w:sz="0" w:space="0" w:color="auto"/>
      </w:divBdr>
    </w:div>
    <w:div w:id="1006325536">
      <w:bodyDiv w:val="1"/>
      <w:marLeft w:val="0"/>
      <w:marRight w:val="0"/>
      <w:marTop w:val="0"/>
      <w:marBottom w:val="0"/>
      <w:divBdr>
        <w:top w:val="none" w:sz="0" w:space="0" w:color="auto"/>
        <w:left w:val="none" w:sz="0" w:space="0" w:color="auto"/>
        <w:bottom w:val="none" w:sz="0" w:space="0" w:color="auto"/>
        <w:right w:val="none" w:sz="0" w:space="0" w:color="auto"/>
      </w:divBdr>
    </w:div>
    <w:div w:id="1026444273">
      <w:bodyDiv w:val="1"/>
      <w:marLeft w:val="0"/>
      <w:marRight w:val="0"/>
      <w:marTop w:val="0"/>
      <w:marBottom w:val="0"/>
      <w:divBdr>
        <w:top w:val="none" w:sz="0" w:space="0" w:color="auto"/>
        <w:left w:val="none" w:sz="0" w:space="0" w:color="auto"/>
        <w:bottom w:val="none" w:sz="0" w:space="0" w:color="auto"/>
        <w:right w:val="none" w:sz="0" w:space="0" w:color="auto"/>
      </w:divBdr>
    </w:div>
    <w:div w:id="1091387133">
      <w:bodyDiv w:val="1"/>
      <w:marLeft w:val="0"/>
      <w:marRight w:val="0"/>
      <w:marTop w:val="0"/>
      <w:marBottom w:val="0"/>
      <w:divBdr>
        <w:top w:val="none" w:sz="0" w:space="0" w:color="auto"/>
        <w:left w:val="none" w:sz="0" w:space="0" w:color="auto"/>
        <w:bottom w:val="none" w:sz="0" w:space="0" w:color="auto"/>
        <w:right w:val="none" w:sz="0" w:space="0" w:color="auto"/>
      </w:divBdr>
    </w:div>
    <w:div w:id="1097214988">
      <w:bodyDiv w:val="1"/>
      <w:marLeft w:val="0"/>
      <w:marRight w:val="0"/>
      <w:marTop w:val="0"/>
      <w:marBottom w:val="0"/>
      <w:divBdr>
        <w:top w:val="none" w:sz="0" w:space="0" w:color="auto"/>
        <w:left w:val="none" w:sz="0" w:space="0" w:color="auto"/>
        <w:bottom w:val="none" w:sz="0" w:space="0" w:color="auto"/>
        <w:right w:val="none" w:sz="0" w:space="0" w:color="auto"/>
      </w:divBdr>
      <w:divsChild>
        <w:div w:id="104084866">
          <w:marLeft w:val="0"/>
          <w:marRight w:val="0"/>
          <w:marTop w:val="0"/>
          <w:marBottom w:val="0"/>
          <w:divBdr>
            <w:top w:val="none" w:sz="0" w:space="0" w:color="auto"/>
            <w:left w:val="none" w:sz="0" w:space="0" w:color="auto"/>
            <w:bottom w:val="none" w:sz="0" w:space="0" w:color="auto"/>
            <w:right w:val="none" w:sz="0" w:space="0" w:color="auto"/>
          </w:divBdr>
          <w:divsChild>
            <w:div w:id="5022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8719">
      <w:bodyDiv w:val="1"/>
      <w:marLeft w:val="0"/>
      <w:marRight w:val="0"/>
      <w:marTop w:val="0"/>
      <w:marBottom w:val="0"/>
      <w:divBdr>
        <w:top w:val="none" w:sz="0" w:space="0" w:color="auto"/>
        <w:left w:val="none" w:sz="0" w:space="0" w:color="auto"/>
        <w:bottom w:val="none" w:sz="0" w:space="0" w:color="auto"/>
        <w:right w:val="none" w:sz="0" w:space="0" w:color="auto"/>
      </w:divBdr>
    </w:div>
    <w:div w:id="1119298368">
      <w:bodyDiv w:val="1"/>
      <w:marLeft w:val="0"/>
      <w:marRight w:val="0"/>
      <w:marTop w:val="0"/>
      <w:marBottom w:val="0"/>
      <w:divBdr>
        <w:top w:val="none" w:sz="0" w:space="0" w:color="auto"/>
        <w:left w:val="none" w:sz="0" w:space="0" w:color="auto"/>
        <w:bottom w:val="none" w:sz="0" w:space="0" w:color="auto"/>
        <w:right w:val="none" w:sz="0" w:space="0" w:color="auto"/>
      </w:divBdr>
    </w:div>
    <w:div w:id="1142581494">
      <w:bodyDiv w:val="1"/>
      <w:marLeft w:val="0"/>
      <w:marRight w:val="0"/>
      <w:marTop w:val="0"/>
      <w:marBottom w:val="0"/>
      <w:divBdr>
        <w:top w:val="none" w:sz="0" w:space="0" w:color="auto"/>
        <w:left w:val="none" w:sz="0" w:space="0" w:color="auto"/>
        <w:bottom w:val="none" w:sz="0" w:space="0" w:color="auto"/>
        <w:right w:val="none" w:sz="0" w:space="0" w:color="auto"/>
      </w:divBdr>
    </w:div>
    <w:div w:id="1187603132">
      <w:bodyDiv w:val="1"/>
      <w:marLeft w:val="0"/>
      <w:marRight w:val="0"/>
      <w:marTop w:val="0"/>
      <w:marBottom w:val="0"/>
      <w:divBdr>
        <w:top w:val="none" w:sz="0" w:space="0" w:color="auto"/>
        <w:left w:val="none" w:sz="0" w:space="0" w:color="auto"/>
        <w:bottom w:val="none" w:sz="0" w:space="0" w:color="auto"/>
        <w:right w:val="none" w:sz="0" w:space="0" w:color="auto"/>
      </w:divBdr>
    </w:div>
    <w:div w:id="1187671958">
      <w:bodyDiv w:val="1"/>
      <w:marLeft w:val="0"/>
      <w:marRight w:val="0"/>
      <w:marTop w:val="0"/>
      <w:marBottom w:val="0"/>
      <w:divBdr>
        <w:top w:val="none" w:sz="0" w:space="0" w:color="auto"/>
        <w:left w:val="none" w:sz="0" w:space="0" w:color="auto"/>
        <w:bottom w:val="none" w:sz="0" w:space="0" w:color="auto"/>
        <w:right w:val="none" w:sz="0" w:space="0" w:color="auto"/>
      </w:divBdr>
    </w:div>
    <w:div w:id="1199121220">
      <w:bodyDiv w:val="1"/>
      <w:marLeft w:val="0"/>
      <w:marRight w:val="0"/>
      <w:marTop w:val="0"/>
      <w:marBottom w:val="0"/>
      <w:divBdr>
        <w:top w:val="none" w:sz="0" w:space="0" w:color="auto"/>
        <w:left w:val="none" w:sz="0" w:space="0" w:color="auto"/>
        <w:bottom w:val="none" w:sz="0" w:space="0" w:color="auto"/>
        <w:right w:val="none" w:sz="0" w:space="0" w:color="auto"/>
      </w:divBdr>
      <w:divsChild>
        <w:div w:id="1386642725">
          <w:marLeft w:val="0"/>
          <w:marRight w:val="0"/>
          <w:marTop w:val="100"/>
          <w:marBottom w:val="100"/>
          <w:divBdr>
            <w:top w:val="none" w:sz="0" w:space="0" w:color="auto"/>
            <w:left w:val="none" w:sz="0" w:space="0" w:color="auto"/>
            <w:bottom w:val="none" w:sz="0" w:space="0" w:color="auto"/>
            <w:right w:val="none" w:sz="0" w:space="0" w:color="auto"/>
          </w:divBdr>
          <w:divsChild>
            <w:div w:id="817959102">
              <w:marLeft w:val="0"/>
              <w:marRight w:val="0"/>
              <w:marTop w:val="0"/>
              <w:marBottom w:val="0"/>
              <w:divBdr>
                <w:top w:val="none" w:sz="0" w:space="0" w:color="auto"/>
                <w:left w:val="none" w:sz="0" w:space="0" w:color="auto"/>
                <w:bottom w:val="none" w:sz="0" w:space="0" w:color="auto"/>
                <w:right w:val="none" w:sz="0" w:space="0" w:color="auto"/>
              </w:divBdr>
              <w:divsChild>
                <w:div w:id="5299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854989">
      <w:bodyDiv w:val="1"/>
      <w:marLeft w:val="0"/>
      <w:marRight w:val="0"/>
      <w:marTop w:val="0"/>
      <w:marBottom w:val="0"/>
      <w:divBdr>
        <w:top w:val="none" w:sz="0" w:space="0" w:color="auto"/>
        <w:left w:val="none" w:sz="0" w:space="0" w:color="auto"/>
        <w:bottom w:val="none" w:sz="0" w:space="0" w:color="auto"/>
        <w:right w:val="none" w:sz="0" w:space="0" w:color="auto"/>
      </w:divBdr>
    </w:div>
    <w:div w:id="1221477752">
      <w:bodyDiv w:val="1"/>
      <w:marLeft w:val="0"/>
      <w:marRight w:val="0"/>
      <w:marTop w:val="0"/>
      <w:marBottom w:val="0"/>
      <w:divBdr>
        <w:top w:val="none" w:sz="0" w:space="0" w:color="auto"/>
        <w:left w:val="none" w:sz="0" w:space="0" w:color="auto"/>
        <w:bottom w:val="none" w:sz="0" w:space="0" w:color="auto"/>
        <w:right w:val="none" w:sz="0" w:space="0" w:color="auto"/>
      </w:divBdr>
    </w:div>
    <w:div w:id="1264337510">
      <w:bodyDiv w:val="1"/>
      <w:marLeft w:val="0"/>
      <w:marRight w:val="0"/>
      <w:marTop w:val="0"/>
      <w:marBottom w:val="0"/>
      <w:divBdr>
        <w:top w:val="none" w:sz="0" w:space="0" w:color="auto"/>
        <w:left w:val="none" w:sz="0" w:space="0" w:color="auto"/>
        <w:bottom w:val="none" w:sz="0" w:space="0" w:color="auto"/>
        <w:right w:val="none" w:sz="0" w:space="0" w:color="auto"/>
      </w:divBdr>
    </w:div>
    <w:div w:id="1372729470">
      <w:bodyDiv w:val="1"/>
      <w:marLeft w:val="0"/>
      <w:marRight w:val="0"/>
      <w:marTop w:val="0"/>
      <w:marBottom w:val="0"/>
      <w:divBdr>
        <w:top w:val="none" w:sz="0" w:space="0" w:color="auto"/>
        <w:left w:val="none" w:sz="0" w:space="0" w:color="auto"/>
        <w:bottom w:val="none" w:sz="0" w:space="0" w:color="auto"/>
        <w:right w:val="none" w:sz="0" w:space="0" w:color="auto"/>
      </w:divBdr>
    </w:div>
    <w:div w:id="1391926724">
      <w:bodyDiv w:val="1"/>
      <w:marLeft w:val="0"/>
      <w:marRight w:val="0"/>
      <w:marTop w:val="0"/>
      <w:marBottom w:val="0"/>
      <w:divBdr>
        <w:top w:val="none" w:sz="0" w:space="0" w:color="auto"/>
        <w:left w:val="none" w:sz="0" w:space="0" w:color="auto"/>
        <w:bottom w:val="none" w:sz="0" w:space="0" w:color="auto"/>
        <w:right w:val="none" w:sz="0" w:space="0" w:color="auto"/>
      </w:divBdr>
    </w:div>
    <w:div w:id="1415515965">
      <w:bodyDiv w:val="1"/>
      <w:marLeft w:val="0"/>
      <w:marRight w:val="0"/>
      <w:marTop w:val="0"/>
      <w:marBottom w:val="0"/>
      <w:divBdr>
        <w:top w:val="none" w:sz="0" w:space="0" w:color="auto"/>
        <w:left w:val="none" w:sz="0" w:space="0" w:color="auto"/>
        <w:bottom w:val="none" w:sz="0" w:space="0" w:color="auto"/>
        <w:right w:val="none" w:sz="0" w:space="0" w:color="auto"/>
      </w:divBdr>
    </w:div>
    <w:div w:id="1423912416">
      <w:bodyDiv w:val="1"/>
      <w:marLeft w:val="0"/>
      <w:marRight w:val="0"/>
      <w:marTop w:val="0"/>
      <w:marBottom w:val="0"/>
      <w:divBdr>
        <w:top w:val="none" w:sz="0" w:space="0" w:color="auto"/>
        <w:left w:val="none" w:sz="0" w:space="0" w:color="auto"/>
        <w:bottom w:val="none" w:sz="0" w:space="0" w:color="auto"/>
        <w:right w:val="none" w:sz="0" w:space="0" w:color="auto"/>
      </w:divBdr>
    </w:div>
    <w:div w:id="1435662908">
      <w:bodyDiv w:val="1"/>
      <w:marLeft w:val="0"/>
      <w:marRight w:val="0"/>
      <w:marTop w:val="0"/>
      <w:marBottom w:val="0"/>
      <w:divBdr>
        <w:top w:val="none" w:sz="0" w:space="0" w:color="auto"/>
        <w:left w:val="none" w:sz="0" w:space="0" w:color="auto"/>
        <w:bottom w:val="none" w:sz="0" w:space="0" w:color="auto"/>
        <w:right w:val="none" w:sz="0" w:space="0" w:color="auto"/>
      </w:divBdr>
    </w:div>
    <w:div w:id="1468623086">
      <w:bodyDiv w:val="1"/>
      <w:marLeft w:val="0"/>
      <w:marRight w:val="0"/>
      <w:marTop w:val="0"/>
      <w:marBottom w:val="0"/>
      <w:divBdr>
        <w:top w:val="none" w:sz="0" w:space="0" w:color="auto"/>
        <w:left w:val="none" w:sz="0" w:space="0" w:color="auto"/>
        <w:bottom w:val="none" w:sz="0" w:space="0" w:color="auto"/>
        <w:right w:val="none" w:sz="0" w:space="0" w:color="auto"/>
      </w:divBdr>
    </w:div>
    <w:div w:id="1490292786">
      <w:bodyDiv w:val="1"/>
      <w:marLeft w:val="0"/>
      <w:marRight w:val="0"/>
      <w:marTop w:val="0"/>
      <w:marBottom w:val="0"/>
      <w:divBdr>
        <w:top w:val="none" w:sz="0" w:space="0" w:color="auto"/>
        <w:left w:val="none" w:sz="0" w:space="0" w:color="auto"/>
        <w:bottom w:val="none" w:sz="0" w:space="0" w:color="auto"/>
        <w:right w:val="none" w:sz="0" w:space="0" w:color="auto"/>
      </w:divBdr>
    </w:div>
    <w:div w:id="1505783012">
      <w:marLeft w:val="0"/>
      <w:marRight w:val="0"/>
      <w:marTop w:val="0"/>
      <w:marBottom w:val="0"/>
      <w:divBdr>
        <w:top w:val="none" w:sz="0" w:space="0" w:color="auto"/>
        <w:left w:val="none" w:sz="0" w:space="0" w:color="auto"/>
        <w:bottom w:val="none" w:sz="0" w:space="0" w:color="auto"/>
        <w:right w:val="none" w:sz="0" w:space="0" w:color="auto"/>
      </w:divBdr>
    </w:div>
    <w:div w:id="1590768686">
      <w:bodyDiv w:val="1"/>
      <w:marLeft w:val="0"/>
      <w:marRight w:val="0"/>
      <w:marTop w:val="0"/>
      <w:marBottom w:val="0"/>
      <w:divBdr>
        <w:top w:val="none" w:sz="0" w:space="0" w:color="auto"/>
        <w:left w:val="none" w:sz="0" w:space="0" w:color="auto"/>
        <w:bottom w:val="none" w:sz="0" w:space="0" w:color="auto"/>
        <w:right w:val="none" w:sz="0" w:space="0" w:color="auto"/>
      </w:divBdr>
    </w:div>
    <w:div w:id="1611161097">
      <w:bodyDiv w:val="1"/>
      <w:marLeft w:val="0"/>
      <w:marRight w:val="0"/>
      <w:marTop w:val="0"/>
      <w:marBottom w:val="0"/>
      <w:divBdr>
        <w:top w:val="none" w:sz="0" w:space="0" w:color="auto"/>
        <w:left w:val="none" w:sz="0" w:space="0" w:color="auto"/>
        <w:bottom w:val="none" w:sz="0" w:space="0" w:color="auto"/>
        <w:right w:val="none" w:sz="0" w:space="0" w:color="auto"/>
      </w:divBdr>
    </w:div>
    <w:div w:id="1659770869">
      <w:bodyDiv w:val="1"/>
      <w:marLeft w:val="0"/>
      <w:marRight w:val="0"/>
      <w:marTop w:val="0"/>
      <w:marBottom w:val="0"/>
      <w:divBdr>
        <w:top w:val="none" w:sz="0" w:space="0" w:color="auto"/>
        <w:left w:val="none" w:sz="0" w:space="0" w:color="auto"/>
        <w:bottom w:val="none" w:sz="0" w:space="0" w:color="auto"/>
        <w:right w:val="none" w:sz="0" w:space="0" w:color="auto"/>
      </w:divBdr>
    </w:div>
    <w:div w:id="1718773876">
      <w:bodyDiv w:val="1"/>
      <w:marLeft w:val="0"/>
      <w:marRight w:val="0"/>
      <w:marTop w:val="0"/>
      <w:marBottom w:val="0"/>
      <w:divBdr>
        <w:top w:val="none" w:sz="0" w:space="0" w:color="auto"/>
        <w:left w:val="none" w:sz="0" w:space="0" w:color="auto"/>
        <w:bottom w:val="none" w:sz="0" w:space="0" w:color="auto"/>
        <w:right w:val="none" w:sz="0" w:space="0" w:color="auto"/>
      </w:divBdr>
    </w:div>
    <w:div w:id="1732580783">
      <w:bodyDiv w:val="1"/>
      <w:marLeft w:val="0"/>
      <w:marRight w:val="0"/>
      <w:marTop w:val="0"/>
      <w:marBottom w:val="0"/>
      <w:divBdr>
        <w:top w:val="none" w:sz="0" w:space="0" w:color="auto"/>
        <w:left w:val="none" w:sz="0" w:space="0" w:color="auto"/>
        <w:bottom w:val="none" w:sz="0" w:space="0" w:color="auto"/>
        <w:right w:val="none" w:sz="0" w:space="0" w:color="auto"/>
      </w:divBdr>
    </w:div>
    <w:div w:id="1739135136">
      <w:bodyDiv w:val="1"/>
      <w:marLeft w:val="0"/>
      <w:marRight w:val="0"/>
      <w:marTop w:val="0"/>
      <w:marBottom w:val="0"/>
      <w:divBdr>
        <w:top w:val="none" w:sz="0" w:space="0" w:color="auto"/>
        <w:left w:val="none" w:sz="0" w:space="0" w:color="auto"/>
        <w:bottom w:val="none" w:sz="0" w:space="0" w:color="auto"/>
        <w:right w:val="none" w:sz="0" w:space="0" w:color="auto"/>
      </w:divBdr>
    </w:div>
    <w:div w:id="1788112522">
      <w:bodyDiv w:val="1"/>
      <w:marLeft w:val="0"/>
      <w:marRight w:val="0"/>
      <w:marTop w:val="0"/>
      <w:marBottom w:val="0"/>
      <w:divBdr>
        <w:top w:val="none" w:sz="0" w:space="0" w:color="auto"/>
        <w:left w:val="none" w:sz="0" w:space="0" w:color="auto"/>
        <w:bottom w:val="none" w:sz="0" w:space="0" w:color="auto"/>
        <w:right w:val="none" w:sz="0" w:space="0" w:color="auto"/>
      </w:divBdr>
    </w:div>
    <w:div w:id="1845054369">
      <w:bodyDiv w:val="1"/>
      <w:marLeft w:val="0"/>
      <w:marRight w:val="0"/>
      <w:marTop w:val="0"/>
      <w:marBottom w:val="0"/>
      <w:divBdr>
        <w:top w:val="none" w:sz="0" w:space="0" w:color="auto"/>
        <w:left w:val="none" w:sz="0" w:space="0" w:color="auto"/>
        <w:bottom w:val="none" w:sz="0" w:space="0" w:color="auto"/>
        <w:right w:val="none" w:sz="0" w:space="0" w:color="auto"/>
      </w:divBdr>
    </w:div>
    <w:div w:id="1878659941">
      <w:bodyDiv w:val="1"/>
      <w:marLeft w:val="0"/>
      <w:marRight w:val="0"/>
      <w:marTop w:val="0"/>
      <w:marBottom w:val="0"/>
      <w:divBdr>
        <w:top w:val="none" w:sz="0" w:space="0" w:color="auto"/>
        <w:left w:val="none" w:sz="0" w:space="0" w:color="auto"/>
        <w:bottom w:val="none" w:sz="0" w:space="0" w:color="auto"/>
        <w:right w:val="none" w:sz="0" w:space="0" w:color="auto"/>
      </w:divBdr>
    </w:div>
    <w:div w:id="1908757370">
      <w:bodyDiv w:val="1"/>
      <w:marLeft w:val="0"/>
      <w:marRight w:val="0"/>
      <w:marTop w:val="0"/>
      <w:marBottom w:val="0"/>
      <w:divBdr>
        <w:top w:val="none" w:sz="0" w:space="0" w:color="auto"/>
        <w:left w:val="none" w:sz="0" w:space="0" w:color="auto"/>
        <w:bottom w:val="none" w:sz="0" w:space="0" w:color="auto"/>
        <w:right w:val="none" w:sz="0" w:space="0" w:color="auto"/>
      </w:divBdr>
    </w:div>
    <w:div w:id="1980265012">
      <w:bodyDiv w:val="1"/>
      <w:marLeft w:val="0"/>
      <w:marRight w:val="0"/>
      <w:marTop w:val="0"/>
      <w:marBottom w:val="0"/>
      <w:divBdr>
        <w:top w:val="none" w:sz="0" w:space="0" w:color="auto"/>
        <w:left w:val="none" w:sz="0" w:space="0" w:color="auto"/>
        <w:bottom w:val="none" w:sz="0" w:space="0" w:color="auto"/>
        <w:right w:val="none" w:sz="0" w:space="0" w:color="auto"/>
      </w:divBdr>
    </w:div>
    <w:div w:id="1999262129">
      <w:bodyDiv w:val="1"/>
      <w:marLeft w:val="0"/>
      <w:marRight w:val="0"/>
      <w:marTop w:val="0"/>
      <w:marBottom w:val="0"/>
      <w:divBdr>
        <w:top w:val="none" w:sz="0" w:space="0" w:color="auto"/>
        <w:left w:val="none" w:sz="0" w:space="0" w:color="auto"/>
        <w:bottom w:val="none" w:sz="0" w:space="0" w:color="auto"/>
        <w:right w:val="none" w:sz="0" w:space="0" w:color="auto"/>
      </w:divBdr>
    </w:div>
    <w:div w:id="2024161362">
      <w:bodyDiv w:val="1"/>
      <w:marLeft w:val="0"/>
      <w:marRight w:val="0"/>
      <w:marTop w:val="0"/>
      <w:marBottom w:val="0"/>
      <w:divBdr>
        <w:top w:val="none" w:sz="0" w:space="0" w:color="auto"/>
        <w:left w:val="none" w:sz="0" w:space="0" w:color="auto"/>
        <w:bottom w:val="none" w:sz="0" w:space="0" w:color="auto"/>
        <w:right w:val="none" w:sz="0" w:space="0" w:color="auto"/>
      </w:divBdr>
    </w:div>
    <w:div w:id="2029526913">
      <w:bodyDiv w:val="1"/>
      <w:marLeft w:val="0"/>
      <w:marRight w:val="0"/>
      <w:marTop w:val="0"/>
      <w:marBottom w:val="0"/>
      <w:divBdr>
        <w:top w:val="none" w:sz="0" w:space="0" w:color="auto"/>
        <w:left w:val="none" w:sz="0" w:space="0" w:color="auto"/>
        <w:bottom w:val="none" w:sz="0" w:space="0" w:color="auto"/>
        <w:right w:val="none" w:sz="0" w:space="0" w:color="auto"/>
      </w:divBdr>
    </w:div>
    <w:div w:id="2037072548">
      <w:bodyDiv w:val="1"/>
      <w:marLeft w:val="0"/>
      <w:marRight w:val="0"/>
      <w:marTop w:val="0"/>
      <w:marBottom w:val="0"/>
      <w:divBdr>
        <w:top w:val="none" w:sz="0" w:space="0" w:color="auto"/>
        <w:left w:val="none" w:sz="0" w:space="0" w:color="auto"/>
        <w:bottom w:val="none" w:sz="0" w:space="0" w:color="auto"/>
        <w:right w:val="none" w:sz="0" w:space="0" w:color="auto"/>
      </w:divBdr>
    </w:div>
    <w:div w:id="204887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otnotes.xml.rels><?xml version="1.0" encoding="UTF-8" standalone="yes"?>
<Relationships xmlns="http://schemas.openxmlformats.org/package/2006/relationships"><Relationship Id="rId3" Type="http://schemas.openxmlformats.org/officeDocument/2006/relationships/hyperlink" Target="mailto:bpsoares.perpp@uesc.br" TargetMode="External"/><Relationship Id="rId2" Type="http://schemas.openxmlformats.org/officeDocument/2006/relationships/hyperlink" Target="mailto:bpsoares.perpp@uesc.br" TargetMode="External"/><Relationship Id="rId1" Type="http://schemas.openxmlformats.org/officeDocument/2006/relationships/hyperlink" Target="mailto:wmsantos@uesc.br" TargetMode="External"/><Relationship Id="rId5" Type="http://schemas.openxmlformats.org/officeDocument/2006/relationships/hyperlink" Target="mailto:anyranlyns@yahoo.com.br" TargetMode="External"/><Relationship Id="rId4" Type="http://schemas.openxmlformats.org/officeDocument/2006/relationships/hyperlink" Target="mailto:gustavo_lisboa@uesc.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wmsantos\Documents\ARTIGO\PARTICIPA&#199;&#195;O%20POR%20ATIVIDAD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wmsantos\Documents\ARTIGO\PARTICIPA&#199;&#195;O%20POR%20ATIVIDAD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wmsantos\Downloads\ARTIGO\transparencia%20por%20setor%202016-202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wmsantos\Downloads\ARTIGO\transparencia%20por%20setor%202016-202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wmsantos\Downloads\ARTIGO\transparencia%20por%20setor%202016-202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wmsantos\Downloads\ARTIGO\transparencia%20por%20setor%202016-202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wmsantos\Downloads\ARTIGO\dados%20industriais%20para&#237;ba%20(2)%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wmsantos\Downloads\consulta31957317.csv"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wmsantos\Downloads\consulta74025441.csv"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'PART. PARAIBA'!$A$25</c:f>
              <c:strCache>
                <c:ptCount val="1"/>
                <c:pt idx="0">
                  <c:v>Indústrias de transformação</c:v>
                </c:pt>
              </c:strCache>
            </c:strRef>
          </c:tx>
          <c:invertIfNegative val="0"/>
          <c:cat>
            <c:numRef>
              <c:f>'PART. PARAIBA'!$B$21:$H$21</c:f>
              <c:numCache>
                <c:formatCode>General</c:formatCode>
                <c:ptCount val="7"/>
                <c:pt idx="0">
                  <c:v>2016</c:v>
                </c:pt>
                <c:pt idx="1">
                  <c:v>2017</c:v>
                </c:pt>
                <c:pt idx="2">
                  <c:v>2018</c:v>
                </c:pt>
                <c:pt idx="3">
                  <c:v>2019</c:v>
                </c:pt>
                <c:pt idx="4">
                  <c:v>2020</c:v>
                </c:pt>
                <c:pt idx="5">
                  <c:v>2021</c:v>
                </c:pt>
                <c:pt idx="6">
                  <c:v>2022</c:v>
                </c:pt>
              </c:numCache>
            </c:numRef>
          </c:cat>
          <c:val>
            <c:numRef>
              <c:f>'PART. PARAIBA'!$B$25:$H$25</c:f>
              <c:numCache>
                <c:formatCode>##0.0</c:formatCode>
                <c:ptCount val="7"/>
                <c:pt idx="0">
                  <c:v>49.405220485470579</c:v>
                </c:pt>
                <c:pt idx="1">
                  <c:v>50.735707860927484</c:v>
                </c:pt>
                <c:pt idx="2">
                  <c:v>49.272784362392748</c:v>
                </c:pt>
                <c:pt idx="3">
                  <c:v>48.736072501208938</c:v>
                </c:pt>
                <c:pt idx="4">
                  <c:v>47.219960003720608</c:v>
                </c:pt>
                <c:pt idx="5">
                  <c:v>50.512228384326882</c:v>
                </c:pt>
                <c:pt idx="6">
                  <c:v>55.835106969201519</c:v>
                </c:pt>
              </c:numCache>
            </c:numRef>
          </c:val>
          <c:extLst>
            <c:ext xmlns:c16="http://schemas.microsoft.com/office/drawing/2014/chart" uri="{C3380CC4-5D6E-409C-BE32-E72D297353CC}">
              <c16:uniqueId val="{00000000-A47A-447A-B7C0-EEA3FE7FA2BF}"/>
            </c:ext>
          </c:extLst>
        </c:ser>
        <c:ser>
          <c:idx val="1"/>
          <c:order val="1"/>
          <c:tx>
            <c:strRef>
              <c:f>'PART. PARAIBA'!$A$26</c:f>
              <c:strCache>
                <c:ptCount val="1"/>
                <c:pt idx="0">
                  <c:v>Construção</c:v>
                </c:pt>
              </c:strCache>
            </c:strRef>
          </c:tx>
          <c:invertIfNegative val="0"/>
          <c:cat>
            <c:numRef>
              <c:f>'PART. PARAIBA'!$B$21:$H$21</c:f>
              <c:numCache>
                <c:formatCode>General</c:formatCode>
                <c:ptCount val="7"/>
                <c:pt idx="0">
                  <c:v>2016</c:v>
                </c:pt>
                <c:pt idx="1">
                  <c:v>2017</c:v>
                </c:pt>
                <c:pt idx="2">
                  <c:v>2018</c:v>
                </c:pt>
                <c:pt idx="3">
                  <c:v>2019</c:v>
                </c:pt>
                <c:pt idx="4">
                  <c:v>2020</c:v>
                </c:pt>
                <c:pt idx="5">
                  <c:v>2021</c:v>
                </c:pt>
                <c:pt idx="6">
                  <c:v>2022</c:v>
                </c:pt>
              </c:numCache>
            </c:numRef>
          </c:cat>
          <c:val>
            <c:numRef>
              <c:f>'PART. PARAIBA'!$B$26:$H$26</c:f>
              <c:numCache>
                <c:formatCode>##0.0</c:formatCode>
                <c:ptCount val="7"/>
                <c:pt idx="0">
                  <c:v>32.122845030557833</c:v>
                </c:pt>
                <c:pt idx="1">
                  <c:v>27.185022111540462</c:v>
                </c:pt>
                <c:pt idx="2">
                  <c:v>24.891776388630078</c:v>
                </c:pt>
                <c:pt idx="3">
                  <c:v>24.044058499171769</c:v>
                </c:pt>
                <c:pt idx="4">
                  <c:v>24.359525666110411</c:v>
                </c:pt>
                <c:pt idx="5">
                  <c:v>19.982600273195878</c:v>
                </c:pt>
                <c:pt idx="6">
                  <c:v>19.092748582853936</c:v>
                </c:pt>
              </c:numCache>
            </c:numRef>
          </c:val>
          <c:extLst>
            <c:ext xmlns:c16="http://schemas.microsoft.com/office/drawing/2014/chart" uri="{C3380CC4-5D6E-409C-BE32-E72D297353CC}">
              <c16:uniqueId val="{00000001-A47A-447A-B7C0-EEA3FE7FA2BF}"/>
            </c:ext>
          </c:extLst>
        </c:ser>
        <c:ser>
          <c:idx val="2"/>
          <c:order val="2"/>
          <c:tx>
            <c:strRef>
              <c:f>'PART. PARAIBA'!$A$27</c:f>
              <c:strCache>
                <c:ptCount val="1"/>
                <c:pt idx="0">
                  <c:v>Eletricidade e gás, água, esgoto, atividades de gestão de resíduos e descontaminação</c:v>
                </c:pt>
              </c:strCache>
            </c:strRef>
          </c:tx>
          <c:invertIfNegative val="0"/>
          <c:cat>
            <c:numRef>
              <c:f>'PART. PARAIBA'!$B$21:$H$21</c:f>
              <c:numCache>
                <c:formatCode>General</c:formatCode>
                <c:ptCount val="7"/>
                <c:pt idx="0">
                  <c:v>2016</c:v>
                </c:pt>
                <c:pt idx="1">
                  <c:v>2017</c:v>
                </c:pt>
                <c:pt idx="2">
                  <c:v>2018</c:v>
                </c:pt>
                <c:pt idx="3">
                  <c:v>2019</c:v>
                </c:pt>
                <c:pt idx="4">
                  <c:v>2020</c:v>
                </c:pt>
                <c:pt idx="5">
                  <c:v>2021</c:v>
                </c:pt>
                <c:pt idx="6">
                  <c:v>2022</c:v>
                </c:pt>
              </c:numCache>
            </c:numRef>
          </c:cat>
          <c:val>
            <c:numRef>
              <c:f>'PART. PARAIBA'!$B$27:$H$27</c:f>
              <c:numCache>
                <c:formatCode>##0.0</c:formatCode>
                <c:ptCount val="7"/>
                <c:pt idx="0">
                  <c:v>16.338811025412138</c:v>
                </c:pt>
                <c:pt idx="1">
                  <c:v>19.220720556558231</c:v>
                </c:pt>
                <c:pt idx="2">
                  <c:v>21.423341380155474</c:v>
                </c:pt>
                <c:pt idx="3">
                  <c:v>22.584813328149149</c:v>
                </c:pt>
                <c:pt idx="4">
                  <c:v>24.151207649369738</c:v>
                </c:pt>
                <c:pt idx="5">
                  <c:v>23.208317659100661</c:v>
                </c:pt>
                <c:pt idx="6">
                  <c:v>19.300319107733475</c:v>
                </c:pt>
              </c:numCache>
            </c:numRef>
          </c:val>
          <c:extLst>
            <c:ext xmlns:c16="http://schemas.microsoft.com/office/drawing/2014/chart" uri="{C3380CC4-5D6E-409C-BE32-E72D297353CC}">
              <c16:uniqueId val="{00000002-A47A-447A-B7C0-EEA3FE7FA2BF}"/>
            </c:ext>
          </c:extLst>
        </c:ser>
        <c:ser>
          <c:idx val="3"/>
          <c:order val="3"/>
          <c:tx>
            <c:strRef>
              <c:f>'PART. PARAIBA'!$A$28</c:f>
              <c:strCache>
                <c:ptCount val="1"/>
                <c:pt idx="0">
                  <c:v>Indústrias extrativas</c:v>
                </c:pt>
              </c:strCache>
            </c:strRef>
          </c:tx>
          <c:invertIfNegative val="0"/>
          <c:cat>
            <c:numRef>
              <c:f>'PART. PARAIBA'!$B$21:$H$21</c:f>
              <c:numCache>
                <c:formatCode>General</c:formatCode>
                <c:ptCount val="7"/>
                <c:pt idx="0">
                  <c:v>2016</c:v>
                </c:pt>
                <c:pt idx="1">
                  <c:v>2017</c:v>
                </c:pt>
                <c:pt idx="2">
                  <c:v>2018</c:v>
                </c:pt>
                <c:pt idx="3">
                  <c:v>2019</c:v>
                </c:pt>
                <c:pt idx="4">
                  <c:v>2020</c:v>
                </c:pt>
                <c:pt idx="5">
                  <c:v>2021</c:v>
                </c:pt>
                <c:pt idx="6">
                  <c:v>2022</c:v>
                </c:pt>
              </c:numCache>
            </c:numRef>
          </c:cat>
          <c:val>
            <c:numRef>
              <c:f>'PART. PARAIBA'!$B$28:$H$28</c:f>
              <c:numCache>
                <c:formatCode>##0.0</c:formatCode>
                <c:ptCount val="7"/>
                <c:pt idx="0">
                  <c:v>2.1331234585594401</c:v>
                </c:pt>
                <c:pt idx="1">
                  <c:v>2.85854947097382</c:v>
                </c:pt>
                <c:pt idx="2">
                  <c:v>4.4120978688217116</c:v>
                </c:pt>
                <c:pt idx="3">
                  <c:v>4.6350556714701483</c:v>
                </c:pt>
                <c:pt idx="4">
                  <c:v>4.2693066807992457</c:v>
                </c:pt>
                <c:pt idx="5">
                  <c:v>6.29685368337657</c:v>
                </c:pt>
                <c:pt idx="6">
                  <c:v>5.7718253402110724</c:v>
                </c:pt>
              </c:numCache>
            </c:numRef>
          </c:val>
          <c:extLst>
            <c:ext xmlns:c16="http://schemas.microsoft.com/office/drawing/2014/chart" uri="{C3380CC4-5D6E-409C-BE32-E72D297353CC}">
              <c16:uniqueId val="{00000003-A47A-447A-B7C0-EEA3FE7FA2BF}"/>
            </c:ext>
          </c:extLst>
        </c:ser>
        <c:dLbls>
          <c:showLegendKey val="0"/>
          <c:showVal val="0"/>
          <c:showCatName val="0"/>
          <c:showSerName val="0"/>
          <c:showPercent val="0"/>
          <c:showBubbleSize val="0"/>
        </c:dLbls>
        <c:gapWidth val="150"/>
        <c:axId val="40529920"/>
        <c:axId val="137622592"/>
      </c:barChart>
      <c:catAx>
        <c:axId val="40529920"/>
        <c:scaling>
          <c:orientation val="minMax"/>
        </c:scaling>
        <c:delete val="0"/>
        <c:axPos val="b"/>
        <c:numFmt formatCode="General" sourceLinked="1"/>
        <c:majorTickMark val="out"/>
        <c:minorTickMark val="none"/>
        <c:tickLblPos val="nextTo"/>
        <c:crossAx val="137622592"/>
        <c:crosses val="autoZero"/>
        <c:auto val="1"/>
        <c:lblAlgn val="ctr"/>
        <c:lblOffset val="100"/>
        <c:noMultiLvlLbl val="0"/>
      </c:catAx>
      <c:valAx>
        <c:axId val="137622592"/>
        <c:scaling>
          <c:orientation val="minMax"/>
        </c:scaling>
        <c:delete val="0"/>
        <c:axPos val="l"/>
        <c:majorGridlines/>
        <c:title>
          <c:tx>
            <c:rich>
              <a:bodyPr/>
              <a:lstStyle/>
              <a:p>
                <a:pPr>
                  <a:defRPr/>
                </a:pPr>
                <a:r>
                  <a:rPr lang="pt-BR"/>
                  <a:t>Percentual</a:t>
                </a:r>
              </a:p>
            </c:rich>
          </c:tx>
          <c:overlay val="0"/>
        </c:title>
        <c:numFmt formatCode="##0.0" sourceLinked="1"/>
        <c:majorTickMark val="out"/>
        <c:minorTickMark val="none"/>
        <c:tickLblPos val="nextTo"/>
        <c:crossAx val="40529920"/>
        <c:crosses val="autoZero"/>
        <c:crossBetween val="between"/>
      </c:valAx>
    </c:plotArea>
    <c:legend>
      <c:legendPos val="b"/>
      <c:overlay val="0"/>
    </c:legend>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Plan2!$A$2</c:f>
              <c:strCache>
                <c:ptCount val="1"/>
                <c:pt idx="0">
                  <c:v>Indústrias de transformação</c:v>
                </c:pt>
              </c:strCache>
            </c:strRef>
          </c:tx>
          <c:invertIfNegative val="0"/>
          <c:cat>
            <c:numRef>
              <c:f>Plan2!$B$1:$H$1</c:f>
              <c:numCache>
                <c:formatCode>General</c:formatCode>
                <c:ptCount val="7"/>
                <c:pt idx="0">
                  <c:v>2016</c:v>
                </c:pt>
                <c:pt idx="1">
                  <c:v>2017</c:v>
                </c:pt>
                <c:pt idx="2">
                  <c:v>2018</c:v>
                </c:pt>
                <c:pt idx="3">
                  <c:v>2019</c:v>
                </c:pt>
                <c:pt idx="4">
                  <c:v>2020</c:v>
                </c:pt>
                <c:pt idx="5">
                  <c:v>2021</c:v>
                </c:pt>
                <c:pt idx="6">
                  <c:v>2022</c:v>
                </c:pt>
              </c:numCache>
            </c:numRef>
          </c:cat>
          <c:val>
            <c:numRef>
              <c:f>Plan2!$B$2:$H$2</c:f>
              <c:numCache>
                <c:formatCode>##0.0</c:formatCode>
                <c:ptCount val="7"/>
                <c:pt idx="0">
                  <c:v>40.621754003781604</c:v>
                </c:pt>
                <c:pt idx="1">
                  <c:v>41.669743832058622</c:v>
                </c:pt>
                <c:pt idx="2">
                  <c:v>42.202106240921736</c:v>
                </c:pt>
                <c:pt idx="3">
                  <c:v>41.902260334873581</c:v>
                </c:pt>
                <c:pt idx="4">
                  <c:v>39.617776009437506</c:v>
                </c:pt>
                <c:pt idx="5">
                  <c:v>40.878041428563186</c:v>
                </c:pt>
                <c:pt idx="6">
                  <c:v>45.96126696552512</c:v>
                </c:pt>
              </c:numCache>
            </c:numRef>
          </c:val>
          <c:extLst>
            <c:ext xmlns:c16="http://schemas.microsoft.com/office/drawing/2014/chart" uri="{C3380CC4-5D6E-409C-BE32-E72D297353CC}">
              <c16:uniqueId val="{00000000-FDE3-4028-A7F9-B9AADE2AB3B2}"/>
            </c:ext>
          </c:extLst>
        </c:ser>
        <c:ser>
          <c:idx val="2"/>
          <c:order val="1"/>
          <c:tx>
            <c:strRef>
              <c:f>Plan2!$A$3</c:f>
              <c:strCache>
                <c:ptCount val="1"/>
                <c:pt idx="0">
                  <c:v>Construção</c:v>
                </c:pt>
              </c:strCache>
            </c:strRef>
          </c:tx>
          <c:invertIfNegative val="0"/>
          <c:cat>
            <c:numRef>
              <c:f>Plan2!$B$1:$H$1</c:f>
              <c:numCache>
                <c:formatCode>General</c:formatCode>
                <c:ptCount val="7"/>
                <c:pt idx="0">
                  <c:v>2016</c:v>
                </c:pt>
                <c:pt idx="1">
                  <c:v>2017</c:v>
                </c:pt>
                <c:pt idx="2">
                  <c:v>2018</c:v>
                </c:pt>
                <c:pt idx="3">
                  <c:v>2019</c:v>
                </c:pt>
                <c:pt idx="4">
                  <c:v>2020</c:v>
                </c:pt>
                <c:pt idx="5">
                  <c:v>2021</c:v>
                </c:pt>
                <c:pt idx="6">
                  <c:v>2022</c:v>
                </c:pt>
              </c:numCache>
            </c:numRef>
          </c:cat>
          <c:val>
            <c:numRef>
              <c:f>Plan2!$B$3:$H$3</c:f>
              <c:numCache>
                <c:formatCode>##0.0</c:formatCode>
                <c:ptCount val="7"/>
                <c:pt idx="0">
                  <c:v>35.508855014546938</c:v>
                </c:pt>
                <c:pt idx="1">
                  <c:v>35.027798357880322</c:v>
                </c:pt>
                <c:pt idx="2">
                  <c:v>32.097253931068614</c:v>
                </c:pt>
                <c:pt idx="3">
                  <c:v>33.148261141112144</c:v>
                </c:pt>
                <c:pt idx="4">
                  <c:v>35.702486089512128</c:v>
                </c:pt>
                <c:pt idx="5">
                  <c:v>29.869865692526087</c:v>
                </c:pt>
                <c:pt idx="6">
                  <c:v>29.355754327303856</c:v>
                </c:pt>
              </c:numCache>
            </c:numRef>
          </c:val>
          <c:extLst>
            <c:ext xmlns:c16="http://schemas.microsoft.com/office/drawing/2014/chart" uri="{C3380CC4-5D6E-409C-BE32-E72D297353CC}">
              <c16:uniqueId val="{00000001-FDE3-4028-A7F9-B9AADE2AB3B2}"/>
            </c:ext>
          </c:extLst>
        </c:ser>
        <c:ser>
          <c:idx val="3"/>
          <c:order val="2"/>
          <c:tx>
            <c:strRef>
              <c:f>Plan2!$A$4</c:f>
              <c:strCache>
                <c:ptCount val="1"/>
                <c:pt idx="0">
                  <c:v>Eletricidade e gás, água, esgoto, atividades de gestão de resíduos e descontaminação</c:v>
                </c:pt>
              </c:strCache>
            </c:strRef>
          </c:tx>
          <c:invertIfNegative val="0"/>
          <c:cat>
            <c:numRef>
              <c:f>Plan2!$B$1:$H$1</c:f>
              <c:numCache>
                <c:formatCode>General</c:formatCode>
                <c:ptCount val="7"/>
                <c:pt idx="0">
                  <c:v>2016</c:v>
                </c:pt>
                <c:pt idx="1">
                  <c:v>2017</c:v>
                </c:pt>
                <c:pt idx="2">
                  <c:v>2018</c:v>
                </c:pt>
                <c:pt idx="3">
                  <c:v>2019</c:v>
                </c:pt>
                <c:pt idx="4">
                  <c:v>2020</c:v>
                </c:pt>
                <c:pt idx="5">
                  <c:v>2021</c:v>
                </c:pt>
                <c:pt idx="6">
                  <c:v>2022</c:v>
                </c:pt>
              </c:numCache>
            </c:numRef>
          </c:cat>
          <c:val>
            <c:numRef>
              <c:f>Plan2!$B$4:$H$4</c:f>
              <c:numCache>
                <c:formatCode>##0.0</c:formatCode>
                <c:ptCount val="7"/>
                <c:pt idx="0">
                  <c:v>21.151718651461085</c:v>
                </c:pt>
                <c:pt idx="1">
                  <c:v>22.142875527222262</c:v>
                </c:pt>
                <c:pt idx="2">
                  <c:v>23.871613549671828</c:v>
                </c:pt>
                <c:pt idx="3">
                  <c:v>23.68404288560204</c:v>
                </c:pt>
                <c:pt idx="4">
                  <c:v>23.484061631904506</c:v>
                </c:pt>
                <c:pt idx="5">
                  <c:v>27.844205688086298</c:v>
                </c:pt>
                <c:pt idx="6">
                  <c:v>23.757462245308865</c:v>
                </c:pt>
              </c:numCache>
            </c:numRef>
          </c:val>
          <c:extLst>
            <c:ext xmlns:c16="http://schemas.microsoft.com/office/drawing/2014/chart" uri="{C3380CC4-5D6E-409C-BE32-E72D297353CC}">
              <c16:uniqueId val="{00000002-FDE3-4028-A7F9-B9AADE2AB3B2}"/>
            </c:ext>
          </c:extLst>
        </c:ser>
        <c:ser>
          <c:idx val="4"/>
          <c:order val="3"/>
          <c:tx>
            <c:strRef>
              <c:f>Plan2!$A$5</c:f>
              <c:strCache>
                <c:ptCount val="1"/>
                <c:pt idx="0">
                  <c:v>Indústrias extrativas</c:v>
                </c:pt>
              </c:strCache>
            </c:strRef>
          </c:tx>
          <c:invertIfNegative val="0"/>
          <c:cat>
            <c:numRef>
              <c:f>Plan2!$B$1:$H$1</c:f>
              <c:numCache>
                <c:formatCode>General</c:formatCode>
                <c:ptCount val="7"/>
                <c:pt idx="0">
                  <c:v>2016</c:v>
                </c:pt>
                <c:pt idx="1">
                  <c:v>2017</c:v>
                </c:pt>
                <c:pt idx="2">
                  <c:v>2018</c:v>
                </c:pt>
                <c:pt idx="3">
                  <c:v>2019</c:v>
                </c:pt>
                <c:pt idx="4">
                  <c:v>2020</c:v>
                </c:pt>
                <c:pt idx="5">
                  <c:v>2021</c:v>
                </c:pt>
                <c:pt idx="6">
                  <c:v>2022</c:v>
                </c:pt>
              </c:numCache>
            </c:numRef>
          </c:cat>
          <c:val>
            <c:numRef>
              <c:f>Plan2!$B$5:$H$5</c:f>
              <c:numCache>
                <c:formatCode>##0.0</c:formatCode>
                <c:ptCount val="7"/>
                <c:pt idx="0">
                  <c:v>2.7176723302103607</c:v>
                </c:pt>
                <c:pt idx="1">
                  <c:v>1.1595822828387832</c:v>
                </c:pt>
                <c:pt idx="2">
                  <c:v>1.8290262783378328</c:v>
                </c:pt>
                <c:pt idx="3">
                  <c:v>1.2654356384122263</c:v>
                </c:pt>
                <c:pt idx="4">
                  <c:v>1.1956762691458516</c:v>
                </c:pt>
                <c:pt idx="5">
                  <c:v>1.4078871908244459</c:v>
                </c:pt>
                <c:pt idx="6">
                  <c:v>0.9255164618621563</c:v>
                </c:pt>
              </c:numCache>
            </c:numRef>
          </c:val>
          <c:extLst>
            <c:ext xmlns:c16="http://schemas.microsoft.com/office/drawing/2014/chart" uri="{C3380CC4-5D6E-409C-BE32-E72D297353CC}">
              <c16:uniqueId val="{00000003-FDE3-4028-A7F9-B9AADE2AB3B2}"/>
            </c:ext>
          </c:extLst>
        </c:ser>
        <c:dLbls>
          <c:showLegendKey val="0"/>
          <c:showVal val="0"/>
          <c:showCatName val="0"/>
          <c:showSerName val="0"/>
          <c:showPercent val="0"/>
          <c:showBubbleSize val="0"/>
        </c:dLbls>
        <c:gapWidth val="150"/>
        <c:axId val="40530432"/>
        <c:axId val="137624320"/>
      </c:barChart>
      <c:catAx>
        <c:axId val="40530432"/>
        <c:scaling>
          <c:orientation val="minMax"/>
        </c:scaling>
        <c:delete val="0"/>
        <c:axPos val="b"/>
        <c:numFmt formatCode="General" sourceLinked="1"/>
        <c:majorTickMark val="out"/>
        <c:minorTickMark val="none"/>
        <c:tickLblPos val="nextTo"/>
        <c:crossAx val="137624320"/>
        <c:crosses val="autoZero"/>
        <c:auto val="1"/>
        <c:lblAlgn val="ctr"/>
        <c:lblOffset val="100"/>
        <c:noMultiLvlLbl val="0"/>
      </c:catAx>
      <c:valAx>
        <c:axId val="137624320"/>
        <c:scaling>
          <c:orientation val="minMax"/>
        </c:scaling>
        <c:delete val="0"/>
        <c:axPos val="l"/>
        <c:majorGridlines/>
        <c:numFmt formatCode="##0.0" sourceLinked="1"/>
        <c:majorTickMark val="out"/>
        <c:minorTickMark val="none"/>
        <c:tickLblPos val="nextTo"/>
        <c:crossAx val="40530432"/>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SETOR!$F$1</c:f>
              <c:strCache>
                <c:ptCount val="1"/>
                <c:pt idx="0">
                  <c:v>AGRICULTURA</c:v>
                </c:pt>
              </c:strCache>
            </c:strRef>
          </c:tx>
          <c:spPr>
            <a:ln w="28575" cap="rnd">
              <a:solidFill>
                <a:schemeClr val="accent1"/>
              </a:solidFill>
              <a:round/>
            </a:ln>
            <a:effectLst/>
          </c:spPr>
          <c:cat>
            <c:numRef>
              <c:f>SETOR!$A$2:$A$8</c:f>
              <c:numCache>
                <c:formatCode>General</c:formatCode>
                <c:ptCount val="7"/>
                <c:pt idx="0">
                  <c:v>2016</c:v>
                </c:pt>
                <c:pt idx="1">
                  <c:v>2017</c:v>
                </c:pt>
                <c:pt idx="2">
                  <c:v>2018</c:v>
                </c:pt>
                <c:pt idx="3">
                  <c:v>2019</c:v>
                </c:pt>
                <c:pt idx="4">
                  <c:v>2020</c:v>
                </c:pt>
                <c:pt idx="5">
                  <c:v>2021</c:v>
                </c:pt>
                <c:pt idx="6">
                  <c:v>2022</c:v>
                </c:pt>
              </c:numCache>
            </c:numRef>
          </c:cat>
          <c:val>
            <c:numRef>
              <c:f>SETOR!$F$2:$F$8</c:f>
              <c:numCache>
                <c:formatCode>0.0</c:formatCode>
                <c:ptCount val="7"/>
                <c:pt idx="0">
                  <c:v>86.994366880744138</c:v>
                </c:pt>
                <c:pt idx="1">
                  <c:v>84.908204693907777</c:v>
                </c:pt>
                <c:pt idx="2">
                  <c:v>85.418705949800426</c:v>
                </c:pt>
                <c:pt idx="3">
                  <c:v>86.43291283368319</c:v>
                </c:pt>
                <c:pt idx="4">
                  <c:v>85.359583417676063</c:v>
                </c:pt>
                <c:pt idx="5">
                  <c:v>85.315358504917597</c:v>
                </c:pt>
                <c:pt idx="6">
                  <c:v>85.022546452883248</c:v>
                </c:pt>
              </c:numCache>
            </c:numRef>
          </c:val>
          <c:smooth val="0"/>
          <c:extLst>
            <c:ext xmlns:c16="http://schemas.microsoft.com/office/drawing/2014/chart" uri="{C3380CC4-5D6E-409C-BE32-E72D297353CC}">
              <c16:uniqueId val="{00000000-F434-427E-A773-9B7611A0216D}"/>
            </c:ext>
          </c:extLst>
        </c:ser>
        <c:ser>
          <c:idx val="1"/>
          <c:order val="1"/>
          <c:tx>
            <c:strRef>
              <c:f>SETOR!$G$1</c:f>
              <c:strCache>
                <c:ptCount val="1"/>
                <c:pt idx="0">
                  <c:v>COMÉRCIO E SERVIÇOS</c:v>
                </c:pt>
              </c:strCache>
            </c:strRef>
          </c:tx>
          <c:spPr>
            <a:ln w="28575" cap="rnd">
              <a:solidFill>
                <a:schemeClr val="accent2"/>
              </a:solidFill>
              <a:round/>
            </a:ln>
            <a:effectLst/>
          </c:spPr>
          <c:cat>
            <c:numRef>
              <c:f>SETOR!$A$2:$A$8</c:f>
              <c:numCache>
                <c:formatCode>General</c:formatCode>
                <c:ptCount val="7"/>
                <c:pt idx="0">
                  <c:v>2016</c:v>
                </c:pt>
                <c:pt idx="1">
                  <c:v>2017</c:v>
                </c:pt>
                <c:pt idx="2">
                  <c:v>2018</c:v>
                </c:pt>
                <c:pt idx="3">
                  <c:v>2019</c:v>
                </c:pt>
                <c:pt idx="4">
                  <c:v>2020</c:v>
                </c:pt>
                <c:pt idx="5">
                  <c:v>2021</c:v>
                </c:pt>
                <c:pt idx="6">
                  <c:v>2022</c:v>
                </c:pt>
              </c:numCache>
            </c:numRef>
          </c:cat>
          <c:val>
            <c:numRef>
              <c:f>SETOR!$G$2:$G$8</c:f>
              <c:numCache>
                <c:formatCode>0.0</c:formatCode>
                <c:ptCount val="7"/>
                <c:pt idx="0">
                  <c:v>7.2208414973868287</c:v>
                </c:pt>
                <c:pt idx="1">
                  <c:v>8.2808253506658538</c:v>
                </c:pt>
                <c:pt idx="2">
                  <c:v>8.0007422760698361</c:v>
                </c:pt>
                <c:pt idx="3">
                  <c:v>8.1983614296015297</c:v>
                </c:pt>
                <c:pt idx="4">
                  <c:v>9.2883204327605231</c:v>
                </c:pt>
                <c:pt idx="5">
                  <c:v>9.3327547476711121</c:v>
                </c:pt>
                <c:pt idx="6">
                  <c:v>9.5528073046112372</c:v>
                </c:pt>
              </c:numCache>
            </c:numRef>
          </c:val>
          <c:smooth val="0"/>
          <c:extLst>
            <c:ext xmlns:c16="http://schemas.microsoft.com/office/drawing/2014/chart" uri="{C3380CC4-5D6E-409C-BE32-E72D297353CC}">
              <c16:uniqueId val="{00000001-F434-427E-A773-9B7611A0216D}"/>
            </c:ext>
          </c:extLst>
        </c:ser>
        <c:ser>
          <c:idx val="2"/>
          <c:order val="2"/>
          <c:tx>
            <c:strRef>
              <c:f>SETOR!$H$1</c:f>
              <c:strCache>
                <c:ptCount val="1"/>
                <c:pt idx="0">
                  <c:v>INDÚSTRIA</c:v>
                </c:pt>
              </c:strCache>
            </c:strRef>
          </c:tx>
          <c:spPr>
            <a:ln w="28575" cap="rnd">
              <a:solidFill>
                <a:schemeClr val="accent3"/>
              </a:solidFill>
              <a:round/>
            </a:ln>
            <a:effectLst/>
          </c:spPr>
          <c:cat>
            <c:numRef>
              <c:f>SETOR!$A$2:$A$8</c:f>
              <c:numCache>
                <c:formatCode>General</c:formatCode>
                <c:ptCount val="7"/>
                <c:pt idx="0">
                  <c:v>2016</c:v>
                </c:pt>
                <c:pt idx="1">
                  <c:v>2017</c:v>
                </c:pt>
                <c:pt idx="2">
                  <c:v>2018</c:v>
                </c:pt>
                <c:pt idx="3">
                  <c:v>2019</c:v>
                </c:pt>
                <c:pt idx="4">
                  <c:v>2020</c:v>
                </c:pt>
                <c:pt idx="5">
                  <c:v>2021</c:v>
                </c:pt>
                <c:pt idx="6">
                  <c:v>2022</c:v>
                </c:pt>
              </c:numCache>
            </c:numRef>
          </c:cat>
          <c:val>
            <c:numRef>
              <c:f>SETOR!$H$2:$H$8</c:f>
              <c:numCache>
                <c:formatCode>0.0</c:formatCode>
                <c:ptCount val="7"/>
                <c:pt idx="0">
                  <c:v>5.7847916218690116</c:v>
                </c:pt>
                <c:pt idx="1">
                  <c:v>6.8109699554263603</c:v>
                </c:pt>
                <c:pt idx="2">
                  <c:v>6.5805517741297335</c:v>
                </c:pt>
                <c:pt idx="3">
                  <c:v>5.3687257367152723</c:v>
                </c:pt>
                <c:pt idx="4">
                  <c:v>5.3520961495634189</c:v>
                </c:pt>
                <c:pt idx="5">
                  <c:v>5.3518867474112968</c:v>
                </c:pt>
                <c:pt idx="6">
                  <c:v>5.42464624250551</c:v>
                </c:pt>
              </c:numCache>
            </c:numRef>
          </c:val>
          <c:smooth val="0"/>
          <c:extLst>
            <c:ext xmlns:c16="http://schemas.microsoft.com/office/drawing/2014/chart" uri="{C3380CC4-5D6E-409C-BE32-E72D297353CC}">
              <c16:uniqueId val="{00000002-F434-427E-A773-9B7611A0216D}"/>
            </c:ext>
          </c:extLst>
        </c:ser>
        <c:dLbls>
          <c:showLegendKey val="0"/>
          <c:showVal val="0"/>
          <c:showCatName val="0"/>
          <c:showSerName val="0"/>
          <c:showPercent val="0"/>
          <c:showBubbleSize val="0"/>
        </c:dLbls>
        <c:marker val="1"/>
        <c:smooth val="0"/>
        <c:axId val="40533504"/>
        <c:axId val="83132992"/>
      </c:lineChart>
      <c:catAx>
        <c:axId val="4053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83132992"/>
        <c:crossesAt val="0"/>
        <c:auto val="1"/>
        <c:lblAlgn val="ctr"/>
        <c:lblOffset val="100"/>
        <c:noMultiLvlLbl val="0"/>
      </c:catAx>
      <c:valAx>
        <c:axId val="8313299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pt-BR"/>
                  <a:t>Percentual</a:t>
                </a:r>
              </a:p>
            </c:rich>
          </c:tx>
          <c:overlay val="0"/>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053350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Planilha3!$A$2</c:f>
              <c:strCache>
                <c:ptCount val="1"/>
                <c:pt idx="0">
                  <c:v>INVESTIMENTOS</c:v>
                </c:pt>
              </c:strCache>
            </c:strRef>
          </c:tx>
          <c:cat>
            <c:numRef>
              <c:f>Planilha3!$B$1:$H$1</c:f>
              <c:numCache>
                <c:formatCode>General</c:formatCode>
                <c:ptCount val="7"/>
                <c:pt idx="0">
                  <c:v>2016</c:v>
                </c:pt>
                <c:pt idx="1">
                  <c:v>2017</c:v>
                </c:pt>
                <c:pt idx="2">
                  <c:v>2018</c:v>
                </c:pt>
                <c:pt idx="3">
                  <c:v>2019</c:v>
                </c:pt>
                <c:pt idx="4">
                  <c:v>2020</c:v>
                </c:pt>
                <c:pt idx="5">
                  <c:v>2021</c:v>
                </c:pt>
                <c:pt idx="6">
                  <c:v>2022</c:v>
                </c:pt>
              </c:numCache>
            </c:numRef>
          </c:cat>
          <c:val>
            <c:numRef>
              <c:f>Planilha3!$B$2:$H$2</c:f>
              <c:numCache>
                <c:formatCode>0</c:formatCode>
                <c:ptCount val="7"/>
                <c:pt idx="0">
                  <c:v>29071448.889392674</c:v>
                </c:pt>
                <c:pt idx="1">
                  <c:v>11655515.752849815</c:v>
                </c:pt>
                <c:pt idx="2">
                  <c:v>23036037.907429088</c:v>
                </c:pt>
                <c:pt idx="3">
                  <c:v>22592400.676539928</c:v>
                </c:pt>
                <c:pt idx="4">
                  <c:v>6049519.4021558398</c:v>
                </c:pt>
                <c:pt idx="5">
                  <c:v>23431254.571459997</c:v>
                </c:pt>
                <c:pt idx="6">
                  <c:v>34075777.660000004</c:v>
                </c:pt>
              </c:numCache>
            </c:numRef>
          </c:val>
          <c:smooth val="0"/>
          <c:extLst>
            <c:ext xmlns:c16="http://schemas.microsoft.com/office/drawing/2014/chart" uri="{C3380CC4-5D6E-409C-BE32-E72D297353CC}">
              <c16:uniqueId val="{00000000-466D-410F-A573-70C3D74EFF3D}"/>
            </c:ext>
          </c:extLst>
        </c:ser>
        <c:ser>
          <c:idx val="1"/>
          <c:order val="1"/>
          <c:tx>
            <c:strRef>
              <c:f>Planilha3!$A$3</c:f>
              <c:strCache>
                <c:ptCount val="1"/>
                <c:pt idx="0">
                  <c:v>OUTRAS DESPESAS CORRENTES</c:v>
                </c:pt>
              </c:strCache>
            </c:strRef>
          </c:tx>
          <c:cat>
            <c:numRef>
              <c:f>Planilha3!$B$1:$H$1</c:f>
              <c:numCache>
                <c:formatCode>General</c:formatCode>
                <c:ptCount val="7"/>
                <c:pt idx="0">
                  <c:v>2016</c:v>
                </c:pt>
                <c:pt idx="1">
                  <c:v>2017</c:v>
                </c:pt>
                <c:pt idx="2">
                  <c:v>2018</c:v>
                </c:pt>
                <c:pt idx="3">
                  <c:v>2019</c:v>
                </c:pt>
                <c:pt idx="4">
                  <c:v>2020</c:v>
                </c:pt>
                <c:pt idx="5">
                  <c:v>2021</c:v>
                </c:pt>
                <c:pt idx="6">
                  <c:v>2022</c:v>
                </c:pt>
              </c:numCache>
            </c:numRef>
          </c:cat>
          <c:val>
            <c:numRef>
              <c:f>Planilha3!$B$3:$H$3</c:f>
              <c:numCache>
                <c:formatCode>0</c:formatCode>
                <c:ptCount val="7"/>
                <c:pt idx="0">
                  <c:v>33233708.197568834</c:v>
                </c:pt>
                <c:pt idx="1">
                  <c:v>36727010.137294248</c:v>
                </c:pt>
                <c:pt idx="2">
                  <c:v>36004252.536097005</c:v>
                </c:pt>
                <c:pt idx="3">
                  <c:v>31895923.682618953</c:v>
                </c:pt>
                <c:pt idx="4">
                  <c:v>16702749.201680973</c:v>
                </c:pt>
                <c:pt idx="5">
                  <c:v>25054554.279943995</c:v>
                </c:pt>
                <c:pt idx="6">
                  <c:v>25602846.729999986</c:v>
                </c:pt>
              </c:numCache>
            </c:numRef>
          </c:val>
          <c:smooth val="0"/>
          <c:extLst>
            <c:ext xmlns:c16="http://schemas.microsoft.com/office/drawing/2014/chart" uri="{C3380CC4-5D6E-409C-BE32-E72D297353CC}">
              <c16:uniqueId val="{00000001-466D-410F-A573-70C3D74EFF3D}"/>
            </c:ext>
          </c:extLst>
        </c:ser>
        <c:ser>
          <c:idx val="2"/>
          <c:order val="2"/>
          <c:tx>
            <c:strRef>
              <c:f>Planilha3!$A$4</c:f>
              <c:strCache>
                <c:ptCount val="1"/>
                <c:pt idx="0">
                  <c:v>PESSOAL E ENCARGOS SOCIAIS</c:v>
                </c:pt>
              </c:strCache>
            </c:strRef>
          </c:tx>
          <c:cat>
            <c:numRef>
              <c:f>Planilha3!$B$1:$H$1</c:f>
              <c:numCache>
                <c:formatCode>General</c:formatCode>
                <c:ptCount val="7"/>
                <c:pt idx="0">
                  <c:v>2016</c:v>
                </c:pt>
                <c:pt idx="1">
                  <c:v>2017</c:v>
                </c:pt>
                <c:pt idx="2">
                  <c:v>2018</c:v>
                </c:pt>
                <c:pt idx="3">
                  <c:v>2019</c:v>
                </c:pt>
                <c:pt idx="4">
                  <c:v>2020</c:v>
                </c:pt>
                <c:pt idx="5">
                  <c:v>2021</c:v>
                </c:pt>
                <c:pt idx="6">
                  <c:v>2022</c:v>
                </c:pt>
              </c:numCache>
            </c:numRef>
          </c:cat>
          <c:val>
            <c:numRef>
              <c:f>Planilha3!$B$4:$H$4</c:f>
              <c:numCache>
                <c:formatCode>0</c:formatCode>
                <c:ptCount val="7"/>
                <c:pt idx="0">
                  <c:v>216236647.01261643</c:v>
                </c:pt>
                <c:pt idx="1">
                  <c:v>194050427.74896303</c:v>
                </c:pt>
                <c:pt idx="2">
                  <c:v>187230985.1948826</c:v>
                </c:pt>
                <c:pt idx="3">
                  <c:v>189684078.02479026</c:v>
                </c:pt>
                <c:pt idx="4">
                  <c:v>190155604.22351173</c:v>
                </c:pt>
                <c:pt idx="5">
                  <c:v>188688477.712024</c:v>
                </c:pt>
                <c:pt idx="6">
                  <c:v>187768489.60000002</c:v>
                </c:pt>
              </c:numCache>
            </c:numRef>
          </c:val>
          <c:smooth val="0"/>
          <c:extLst>
            <c:ext xmlns:c16="http://schemas.microsoft.com/office/drawing/2014/chart" uri="{C3380CC4-5D6E-409C-BE32-E72D297353CC}">
              <c16:uniqueId val="{00000002-466D-410F-A573-70C3D74EFF3D}"/>
            </c:ext>
          </c:extLst>
        </c:ser>
        <c:dLbls>
          <c:showLegendKey val="0"/>
          <c:showVal val="0"/>
          <c:showCatName val="0"/>
          <c:showSerName val="0"/>
          <c:showPercent val="0"/>
          <c:showBubbleSize val="0"/>
        </c:dLbls>
        <c:marker val="1"/>
        <c:smooth val="0"/>
        <c:axId val="40532480"/>
        <c:axId val="83134720"/>
      </c:lineChart>
      <c:catAx>
        <c:axId val="40532480"/>
        <c:scaling>
          <c:orientation val="minMax"/>
        </c:scaling>
        <c:delete val="0"/>
        <c:axPos val="b"/>
        <c:numFmt formatCode="General" sourceLinked="1"/>
        <c:majorTickMark val="out"/>
        <c:minorTickMark val="none"/>
        <c:tickLblPos val="nextTo"/>
        <c:crossAx val="83134720"/>
        <c:crosses val="autoZero"/>
        <c:auto val="1"/>
        <c:lblAlgn val="ctr"/>
        <c:lblOffset val="100"/>
        <c:noMultiLvlLbl val="0"/>
      </c:catAx>
      <c:valAx>
        <c:axId val="83134720"/>
        <c:scaling>
          <c:orientation val="minMax"/>
        </c:scaling>
        <c:delete val="0"/>
        <c:axPos val="l"/>
        <c:majorGridlines/>
        <c:title>
          <c:tx>
            <c:rich>
              <a:bodyPr/>
              <a:lstStyle/>
              <a:p>
                <a:pPr>
                  <a:defRPr/>
                </a:pPr>
                <a:r>
                  <a:rPr lang="pt-BR"/>
                  <a:t>Milhões</a:t>
                </a:r>
              </a:p>
            </c:rich>
          </c:tx>
          <c:overlay val="0"/>
        </c:title>
        <c:numFmt formatCode="0" sourceLinked="1"/>
        <c:majorTickMark val="out"/>
        <c:minorTickMark val="none"/>
        <c:tickLblPos val="nextTo"/>
        <c:crossAx val="40532480"/>
        <c:crosses val="autoZero"/>
        <c:crossBetween val="midCat"/>
        <c:dispUnits>
          <c:builtInUnit val="millions"/>
        </c:dispUnits>
      </c:val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Planilha3!$A$6</c:f>
              <c:strCache>
                <c:ptCount val="1"/>
                <c:pt idx="0">
                  <c:v>INVESTIMENTOS</c:v>
                </c:pt>
              </c:strCache>
            </c:strRef>
          </c:tx>
          <c:cat>
            <c:numRef>
              <c:f>Planilha3!$B$1:$H$1</c:f>
              <c:numCache>
                <c:formatCode>General</c:formatCode>
                <c:ptCount val="7"/>
                <c:pt idx="0">
                  <c:v>2016</c:v>
                </c:pt>
                <c:pt idx="1">
                  <c:v>2017</c:v>
                </c:pt>
                <c:pt idx="2">
                  <c:v>2018</c:v>
                </c:pt>
                <c:pt idx="3">
                  <c:v>2019</c:v>
                </c:pt>
                <c:pt idx="4">
                  <c:v>2020</c:v>
                </c:pt>
                <c:pt idx="5">
                  <c:v>2021</c:v>
                </c:pt>
                <c:pt idx="6">
                  <c:v>2022</c:v>
                </c:pt>
              </c:numCache>
            </c:numRef>
          </c:cat>
          <c:val>
            <c:numRef>
              <c:f>Planilha3!$B$6:$H$6</c:f>
              <c:numCache>
                <c:formatCode>General</c:formatCode>
                <c:ptCount val="7"/>
                <c:pt idx="0">
                  <c:v>70910.545001873164</c:v>
                </c:pt>
                <c:pt idx="1">
                  <c:v>77048.258733135808</c:v>
                </c:pt>
                <c:pt idx="2">
                  <c:v>143338.55583165764</c:v>
                </c:pt>
                <c:pt idx="3">
                  <c:v>360000.69449659344</c:v>
                </c:pt>
                <c:pt idx="4">
                  <c:v>56725.022354574801</c:v>
                </c:pt>
                <c:pt idx="5">
                  <c:v>235295.68546400001</c:v>
                </c:pt>
                <c:pt idx="6">
                  <c:v>97725.02</c:v>
                </c:pt>
              </c:numCache>
            </c:numRef>
          </c:val>
          <c:smooth val="0"/>
          <c:extLst>
            <c:ext xmlns:c16="http://schemas.microsoft.com/office/drawing/2014/chart" uri="{C3380CC4-5D6E-409C-BE32-E72D297353CC}">
              <c16:uniqueId val="{00000000-1057-48A3-9EC6-7A28C1D6AFC4}"/>
            </c:ext>
          </c:extLst>
        </c:ser>
        <c:ser>
          <c:idx val="1"/>
          <c:order val="1"/>
          <c:tx>
            <c:strRef>
              <c:f>Planilha3!$A$7</c:f>
              <c:strCache>
                <c:ptCount val="1"/>
                <c:pt idx="0">
                  <c:v>OUTRAS DESPESAS CORRENTES</c:v>
                </c:pt>
              </c:strCache>
            </c:strRef>
          </c:tx>
          <c:cat>
            <c:numRef>
              <c:f>Planilha3!$B$1:$H$1</c:f>
              <c:numCache>
                <c:formatCode>General</c:formatCode>
                <c:ptCount val="7"/>
                <c:pt idx="0">
                  <c:v>2016</c:v>
                </c:pt>
                <c:pt idx="1">
                  <c:v>2017</c:v>
                </c:pt>
                <c:pt idx="2">
                  <c:v>2018</c:v>
                </c:pt>
                <c:pt idx="3">
                  <c:v>2019</c:v>
                </c:pt>
                <c:pt idx="4">
                  <c:v>2020</c:v>
                </c:pt>
                <c:pt idx="5">
                  <c:v>2021</c:v>
                </c:pt>
                <c:pt idx="6">
                  <c:v>2022</c:v>
                </c:pt>
              </c:numCache>
            </c:numRef>
          </c:cat>
          <c:val>
            <c:numRef>
              <c:f>Planilha3!$B$7:$H$7</c:f>
              <c:numCache>
                <c:formatCode>General</c:formatCode>
                <c:ptCount val="7"/>
                <c:pt idx="0">
                  <c:v>6889764.3400511602</c:v>
                </c:pt>
                <c:pt idx="1">
                  <c:v>7958833.1342088375</c:v>
                </c:pt>
                <c:pt idx="2">
                  <c:v>7711007.3029064871</c:v>
                </c:pt>
                <c:pt idx="3">
                  <c:v>8020147.1311531663</c:v>
                </c:pt>
                <c:pt idx="4">
                  <c:v>5233878.0478378776</c:v>
                </c:pt>
                <c:pt idx="5">
                  <c:v>6267665.8338399976</c:v>
                </c:pt>
                <c:pt idx="6">
                  <c:v>8618507.7400000039</c:v>
                </c:pt>
              </c:numCache>
            </c:numRef>
          </c:val>
          <c:smooth val="0"/>
          <c:extLst>
            <c:ext xmlns:c16="http://schemas.microsoft.com/office/drawing/2014/chart" uri="{C3380CC4-5D6E-409C-BE32-E72D297353CC}">
              <c16:uniqueId val="{00000001-1057-48A3-9EC6-7A28C1D6AFC4}"/>
            </c:ext>
          </c:extLst>
        </c:ser>
        <c:ser>
          <c:idx val="2"/>
          <c:order val="2"/>
          <c:tx>
            <c:strRef>
              <c:f>Planilha3!$A$8</c:f>
              <c:strCache>
                <c:ptCount val="1"/>
                <c:pt idx="0">
                  <c:v>PESSOAL E ENCARGOS SOCIAIS</c:v>
                </c:pt>
              </c:strCache>
            </c:strRef>
          </c:tx>
          <c:cat>
            <c:numRef>
              <c:f>Planilha3!$B$1:$H$1</c:f>
              <c:numCache>
                <c:formatCode>General</c:formatCode>
                <c:ptCount val="7"/>
                <c:pt idx="0">
                  <c:v>2016</c:v>
                </c:pt>
                <c:pt idx="1">
                  <c:v>2017</c:v>
                </c:pt>
                <c:pt idx="2">
                  <c:v>2018</c:v>
                </c:pt>
                <c:pt idx="3">
                  <c:v>2019</c:v>
                </c:pt>
                <c:pt idx="4">
                  <c:v>2020</c:v>
                </c:pt>
                <c:pt idx="5">
                  <c:v>2021</c:v>
                </c:pt>
                <c:pt idx="6">
                  <c:v>2022</c:v>
                </c:pt>
              </c:numCache>
            </c:numRef>
          </c:cat>
          <c:val>
            <c:numRef>
              <c:f>Planilha3!$B$8:$H$8</c:f>
              <c:numCache>
                <c:formatCode>General</c:formatCode>
                <c:ptCount val="7"/>
                <c:pt idx="0">
                  <c:v>16159284.373385273</c:v>
                </c:pt>
                <c:pt idx="1">
                  <c:v>15131182.526475525</c:v>
                </c:pt>
                <c:pt idx="2">
                  <c:v>14447696.136645162</c:v>
                </c:pt>
                <c:pt idx="3">
                  <c:v>13784587.699886166</c:v>
                </c:pt>
                <c:pt idx="4">
                  <c:v>16671975.814120792</c:v>
                </c:pt>
                <c:pt idx="5">
                  <c:v>17062857.347094011</c:v>
                </c:pt>
                <c:pt idx="6">
                  <c:v>17546326.750000004</c:v>
                </c:pt>
              </c:numCache>
            </c:numRef>
          </c:val>
          <c:smooth val="0"/>
          <c:extLst>
            <c:ext xmlns:c16="http://schemas.microsoft.com/office/drawing/2014/chart" uri="{C3380CC4-5D6E-409C-BE32-E72D297353CC}">
              <c16:uniqueId val="{00000002-1057-48A3-9EC6-7A28C1D6AFC4}"/>
            </c:ext>
          </c:extLst>
        </c:ser>
        <c:dLbls>
          <c:showLegendKey val="0"/>
          <c:showVal val="0"/>
          <c:showCatName val="0"/>
          <c:showSerName val="0"/>
          <c:showPercent val="0"/>
          <c:showBubbleSize val="0"/>
        </c:dLbls>
        <c:marker val="1"/>
        <c:smooth val="0"/>
        <c:axId val="149128192"/>
        <c:axId val="83136448"/>
      </c:lineChart>
      <c:catAx>
        <c:axId val="149128192"/>
        <c:scaling>
          <c:orientation val="minMax"/>
        </c:scaling>
        <c:delete val="0"/>
        <c:axPos val="b"/>
        <c:numFmt formatCode="General" sourceLinked="1"/>
        <c:majorTickMark val="out"/>
        <c:minorTickMark val="none"/>
        <c:tickLblPos val="nextTo"/>
        <c:crossAx val="83136448"/>
        <c:crosses val="autoZero"/>
        <c:auto val="1"/>
        <c:lblAlgn val="ctr"/>
        <c:lblOffset val="100"/>
        <c:noMultiLvlLbl val="0"/>
      </c:catAx>
      <c:valAx>
        <c:axId val="83136448"/>
        <c:scaling>
          <c:orientation val="minMax"/>
        </c:scaling>
        <c:delete val="0"/>
        <c:axPos val="l"/>
        <c:majorGridlines/>
        <c:title>
          <c:tx>
            <c:rich>
              <a:bodyPr/>
              <a:lstStyle/>
              <a:p>
                <a:pPr>
                  <a:defRPr/>
                </a:pPr>
                <a:r>
                  <a:rPr lang="pt-BR"/>
                  <a:t>Milhões</a:t>
                </a:r>
              </a:p>
            </c:rich>
          </c:tx>
          <c:overlay val="0"/>
        </c:title>
        <c:numFmt formatCode="General" sourceLinked="1"/>
        <c:majorTickMark val="out"/>
        <c:minorTickMark val="none"/>
        <c:tickLblPos val="nextTo"/>
        <c:crossAx val="149128192"/>
        <c:crosses val="autoZero"/>
        <c:crossBetween val="midCat"/>
        <c:dispUnits>
          <c:builtInUnit val="hundredThousands"/>
        </c:dispUnits>
      </c:valAx>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Planilha3!$A$10</c:f>
              <c:strCache>
                <c:ptCount val="1"/>
                <c:pt idx="0">
                  <c:v>INVESTIMENTOS</c:v>
                </c:pt>
              </c:strCache>
            </c:strRef>
          </c:tx>
          <c:cat>
            <c:numRef>
              <c:f>Planilha3!$B$1:$H$1</c:f>
              <c:numCache>
                <c:formatCode>General</c:formatCode>
                <c:ptCount val="7"/>
                <c:pt idx="0">
                  <c:v>2016</c:v>
                </c:pt>
                <c:pt idx="1">
                  <c:v>2017</c:v>
                </c:pt>
                <c:pt idx="2">
                  <c:v>2018</c:v>
                </c:pt>
                <c:pt idx="3">
                  <c:v>2019</c:v>
                </c:pt>
                <c:pt idx="4">
                  <c:v>2020</c:v>
                </c:pt>
                <c:pt idx="5">
                  <c:v>2021</c:v>
                </c:pt>
                <c:pt idx="6">
                  <c:v>2022</c:v>
                </c:pt>
              </c:numCache>
            </c:numRef>
          </c:cat>
          <c:val>
            <c:numRef>
              <c:f>Planilha3!$B$10:$H$10</c:f>
              <c:numCache>
                <c:formatCode>General</c:formatCode>
                <c:ptCount val="7"/>
                <c:pt idx="0">
                  <c:v>225785.70788723163</c:v>
                </c:pt>
                <c:pt idx="1">
                  <c:v>1306791.542117707</c:v>
                </c:pt>
                <c:pt idx="2">
                  <c:v>2411646.441138037</c:v>
                </c:pt>
                <c:pt idx="3">
                  <c:v>1060779.1200193383</c:v>
                </c:pt>
                <c:pt idx="4">
                  <c:v>276088.77329429443</c:v>
                </c:pt>
                <c:pt idx="5">
                  <c:v>295733.70763999998</c:v>
                </c:pt>
                <c:pt idx="6">
                  <c:v>666696.29999999993</c:v>
                </c:pt>
              </c:numCache>
            </c:numRef>
          </c:val>
          <c:smooth val="0"/>
          <c:extLst>
            <c:ext xmlns:c16="http://schemas.microsoft.com/office/drawing/2014/chart" uri="{C3380CC4-5D6E-409C-BE32-E72D297353CC}">
              <c16:uniqueId val="{00000000-CE0C-48A9-A15C-20AD72C50956}"/>
            </c:ext>
          </c:extLst>
        </c:ser>
        <c:ser>
          <c:idx val="1"/>
          <c:order val="1"/>
          <c:tx>
            <c:strRef>
              <c:f>Planilha3!$A$11</c:f>
              <c:strCache>
                <c:ptCount val="1"/>
                <c:pt idx="0">
                  <c:v>OUTRAS DESPESAS CORRENTES</c:v>
                </c:pt>
              </c:strCache>
            </c:strRef>
          </c:tx>
          <c:cat>
            <c:numRef>
              <c:f>Planilha3!$B$1:$H$1</c:f>
              <c:numCache>
                <c:formatCode>General</c:formatCode>
                <c:ptCount val="7"/>
                <c:pt idx="0">
                  <c:v>2016</c:v>
                </c:pt>
                <c:pt idx="1">
                  <c:v>2017</c:v>
                </c:pt>
                <c:pt idx="2">
                  <c:v>2018</c:v>
                </c:pt>
                <c:pt idx="3">
                  <c:v>2019</c:v>
                </c:pt>
                <c:pt idx="4">
                  <c:v>2020</c:v>
                </c:pt>
                <c:pt idx="5">
                  <c:v>2021</c:v>
                </c:pt>
                <c:pt idx="6">
                  <c:v>2022</c:v>
                </c:pt>
              </c:numCache>
            </c:numRef>
          </c:cat>
          <c:val>
            <c:numRef>
              <c:f>Planilha3!$B$11:$H$11</c:f>
              <c:numCache>
                <c:formatCode>General</c:formatCode>
                <c:ptCount val="7"/>
                <c:pt idx="0">
                  <c:v>6281477.5448973384</c:v>
                </c:pt>
                <c:pt idx="1">
                  <c:v>6291016.8435957115</c:v>
                </c:pt>
                <c:pt idx="2">
                  <c:v>5558773.2860260764</c:v>
                </c:pt>
                <c:pt idx="3">
                  <c:v>3694225.9987399573</c:v>
                </c:pt>
                <c:pt idx="4">
                  <c:v>3500689.8280955888</c:v>
                </c:pt>
                <c:pt idx="5">
                  <c:v>4107537.8210320021</c:v>
                </c:pt>
                <c:pt idx="6">
                  <c:v>5418773.3000000007</c:v>
                </c:pt>
              </c:numCache>
            </c:numRef>
          </c:val>
          <c:smooth val="0"/>
          <c:extLst>
            <c:ext xmlns:c16="http://schemas.microsoft.com/office/drawing/2014/chart" uri="{C3380CC4-5D6E-409C-BE32-E72D297353CC}">
              <c16:uniqueId val="{00000001-CE0C-48A9-A15C-20AD72C50956}"/>
            </c:ext>
          </c:extLst>
        </c:ser>
        <c:ser>
          <c:idx val="2"/>
          <c:order val="2"/>
          <c:tx>
            <c:strRef>
              <c:f>Planilha3!$A$12</c:f>
              <c:strCache>
                <c:ptCount val="1"/>
                <c:pt idx="0">
                  <c:v>PESSOAL E ENCARGOS SOCIAIS</c:v>
                </c:pt>
              </c:strCache>
            </c:strRef>
          </c:tx>
          <c:cat>
            <c:numRef>
              <c:f>Planilha3!$B$1:$H$1</c:f>
              <c:numCache>
                <c:formatCode>General</c:formatCode>
                <c:ptCount val="7"/>
                <c:pt idx="0">
                  <c:v>2016</c:v>
                </c:pt>
                <c:pt idx="1">
                  <c:v>2017</c:v>
                </c:pt>
                <c:pt idx="2">
                  <c:v>2018</c:v>
                </c:pt>
                <c:pt idx="3">
                  <c:v>2019</c:v>
                </c:pt>
                <c:pt idx="4">
                  <c:v>2020</c:v>
                </c:pt>
                <c:pt idx="5">
                  <c:v>2021</c:v>
                </c:pt>
                <c:pt idx="6">
                  <c:v>2022</c:v>
                </c:pt>
              </c:numCache>
            </c:numRef>
          </c:cat>
          <c:val>
            <c:numRef>
              <c:f>Planilha3!$B$12:$H$12</c:f>
              <c:numCache>
                <c:formatCode>General</c:formatCode>
                <c:ptCount val="7"/>
                <c:pt idx="0">
                  <c:v>12014698.026183806</c:v>
                </c:pt>
                <c:pt idx="1">
                  <c:v>11457076.80129355</c:v>
                </c:pt>
                <c:pt idx="2">
                  <c:v>10372846.054361308</c:v>
                </c:pt>
                <c:pt idx="3">
                  <c:v>9759649.6796710584</c:v>
                </c:pt>
                <c:pt idx="4">
                  <c:v>8878451.6667890381</c:v>
                </c:pt>
                <c:pt idx="5">
                  <c:v>9110594.1083139982</c:v>
                </c:pt>
                <c:pt idx="6">
                  <c:v>8827957.4400000013</c:v>
                </c:pt>
              </c:numCache>
            </c:numRef>
          </c:val>
          <c:smooth val="0"/>
          <c:extLst>
            <c:ext xmlns:c16="http://schemas.microsoft.com/office/drawing/2014/chart" uri="{C3380CC4-5D6E-409C-BE32-E72D297353CC}">
              <c16:uniqueId val="{00000002-CE0C-48A9-A15C-20AD72C50956}"/>
            </c:ext>
          </c:extLst>
        </c:ser>
        <c:dLbls>
          <c:showLegendKey val="0"/>
          <c:showVal val="0"/>
          <c:showCatName val="0"/>
          <c:showSerName val="0"/>
          <c:showPercent val="0"/>
          <c:showBubbleSize val="0"/>
        </c:dLbls>
        <c:marker val="1"/>
        <c:smooth val="0"/>
        <c:axId val="81088512"/>
        <c:axId val="83138176"/>
      </c:lineChart>
      <c:catAx>
        <c:axId val="81088512"/>
        <c:scaling>
          <c:orientation val="minMax"/>
        </c:scaling>
        <c:delete val="0"/>
        <c:axPos val="b"/>
        <c:numFmt formatCode="General" sourceLinked="1"/>
        <c:majorTickMark val="out"/>
        <c:minorTickMark val="none"/>
        <c:tickLblPos val="nextTo"/>
        <c:crossAx val="83138176"/>
        <c:crosses val="autoZero"/>
        <c:auto val="1"/>
        <c:lblAlgn val="ctr"/>
        <c:lblOffset val="100"/>
        <c:noMultiLvlLbl val="0"/>
      </c:catAx>
      <c:valAx>
        <c:axId val="83138176"/>
        <c:scaling>
          <c:orientation val="minMax"/>
        </c:scaling>
        <c:delete val="0"/>
        <c:axPos val="l"/>
        <c:majorGridlines/>
        <c:title>
          <c:tx>
            <c:rich>
              <a:bodyPr/>
              <a:lstStyle/>
              <a:p>
                <a:pPr>
                  <a:defRPr/>
                </a:pPr>
                <a:r>
                  <a:rPr lang="pt-BR"/>
                  <a:t>Milhões</a:t>
                </a:r>
              </a:p>
            </c:rich>
          </c:tx>
          <c:overlay val="0"/>
        </c:title>
        <c:numFmt formatCode="General" sourceLinked="1"/>
        <c:majorTickMark val="out"/>
        <c:minorTickMark val="none"/>
        <c:tickLblPos val="nextTo"/>
        <c:crossAx val="81088512"/>
        <c:crosses val="autoZero"/>
        <c:crossBetween val="midCat"/>
        <c:dispUnits>
          <c:builtInUnit val="hundredThousands"/>
        </c:dispUnits>
      </c:valAx>
    </c:plotArea>
    <c:legend>
      <c:legendPos val="b"/>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3"/>
          <c:order val="0"/>
          <c:tx>
            <c:v>SERVIÇOS</c:v>
          </c:tx>
          <c:spPr>
            <a:solidFill>
              <a:schemeClr val="accent4"/>
            </a:solidFill>
            <a:ln>
              <a:noFill/>
            </a:ln>
            <a:effectLst/>
          </c:spPr>
          <c:invertIfNegative val="0"/>
          <c:cat>
            <c:numRef>
              <c:f>PDESPESAS.!$H$11:$H$18</c:f>
              <c:numCache>
                <c:formatCode>General</c:formatCode>
                <c:ptCount val="8"/>
                <c:pt idx="0">
                  <c:v>2016</c:v>
                </c:pt>
                <c:pt idx="1">
                  <c:v>2017</c:v>
                </c:pt>
                <c:pt idx="2">
                  <c:v>2018</c:v>
                </c:pt>
                <c:pt idx="3">
                  <c:v>2019</c:v>
                </c:pt>
                <c:pt idx="4">
                  <c:v>2020</c:v>
                </c:pt>
                <c:pt idx="5">
                  <c:v>2021</c:v>
                </c:pt>
                <c:pt idx="6">
                  <c:v>2022</c:v>
                </c:pt>
              </c:numCache>
            </c:numRef>
          </c:cat>
          <c:val>
            <c:numRef>
              <c:f>PDESPESAS.!$L$11:$L$17</c:f>
              <c:numCache>
                <c:formatCode>0.00</c:formatCode>
                <c:ptCount val="7"/>
                <c:pt idx="0">
                  <c:v>37.900229966389524</c:v>
                </c:pt>
                <c:pt idx="1">
                  <c:v>38.750385411619611</c:v>
                </c:pt>
                <c:pt idx="2">
                  <c:v>39.705979299887929</c:v>
                </c:pt>
                <c:pt idx="3">
                  <c:v>40.91788289080359</c:v>
                </c:pt>
                <c:pt idx="4">
                  <c:v>40.902912405018164</c:v>
                </c:pt>
                <c:pt idx="5">
                  <c:v>40.991057649620529</c:v>
                </c:pt>
                <c:pt idx="6">
                  <c:v>40.539655987490455</c:v>
                </c:pt>
              </c:numCache>
            </c:numRef>
          </c:val>
          <c:extLst>
            <c:ext xmlns:c16="http://schemas.microsoft.com/office/drawing/2014/chart" uri="{C3380CC4-5D6E-409C-BE32-E72D297353CC}">
              <c16:uniqueId val="{00000000-B910-47B2-B890-E476121A7D09}"/>
            </c:ext>
          </c:extLst>
        </c:ser>
        <c:ser>
          <c:idx val="2"/>
          <c:order val="1"/>
          <c:tx>
            <c:v>COMÉRCIO</c:v>
          </c:tx>
          <c:spPr>
            <a:solidFill>
              <a:schemeClr val="accent3"/>
            </a:solidFill>
            <a:ln>
              <a:noFill/>
            </a:ln>
            <a:effectLst/>
          </c:spPr>
          <c:invertIfNegative val="0"/>
          <c:cat>
            <c:numRef>
              <c:f>PDESPESAS.!$H$11:$H$18</c:f>
              <c:numCache>
                <c:formatCode>General</c:formatCode>
                <c:ptCount val="8"/>
                <c:pt idx="0">
                  <c:v>2016</c:v>
                </c:pt>
                <c:pt idx="1">
                  <c:v>2017</c:v>
                </c:pt>
                <c:pt idx="2">
                  <c:v>2018</c:v>
                </c:pt>
                <c:pt idx="3">
                  <c:v>2019</c:v>
                </c:pt>
                <c:pt idx="4">
                  <c:v>2020</c:v>
                </c:pt>
                <c:pt idx="5">
                  <c:v>2021</c:v>
                </c:pt>
                <c:pt idx="6">
                  <c:v>2022</c:v>
                </c:pt>
              </c:numCache>
            </c:numRef>
          </c:cat>
          <c:val>
            <c:numRef>
              <c:f>PDESPESAS.!$K$11:$K$17</c:f>
              <c:numCache>
                <c:formatCode>0.00</c:formatCode>
                <c:ptCount val="7"/>
                <c:pt idx="0">
                  <c:v>43.379621439943392</c:v>
                </c:pt>
                <c:pt idx="1">
                  <c:v>43.047174382240236</c:v>
                </c:pt>
                <c:pt idx="2">
                  <c:v>42.540708022941523</c:v>
                </c:pt>
                <c:pt idx="3">
                  <c:v>41.513539651837519</c:v>
                </c:pt>
                <c:pt idx="4">
                  <c:v>41.326291864429443</c:v>
                </c:pt>
                <c:pt idx="5">
                  <c:v>41.267995687377123</c:v>
                </c:pt>
                <c:pt idx="6">
                  <c:v>40.20873486308593</c:v>
                </c:pt>
              </c:numCache>
            </c:numRef>
          </c:val>
          <c:extLst>
            <c:ext xmlns:c16="http://schemas.microsoft.com/office/drawing/2014/chart" uri="{C3380CC4-5D6E-409C-BE32-E72D297353CC}">
              <c16:uniqueId val="{00000001-B910-47B2-B890-E476121A7D09}"/>
            </c:ext>
          </c:extLst>
        </c:ser>
        <c:ser>
          <c:idx val="0"/>
          <c:order val="2"/>
          <c:tx>
            <c:v>INDÚSTRIA</c:v>
          </c:tx>
          <c:spPr>
            <a:solidFill>
              <a:schemeClr val="accent1"/>
            </a:solidFill>
            <a:ln>
              <a:noFill/>
            </a:ln>
            <a:effectLst/>
          </c:spPr>
          <c:invertIfNegative val="0"/>
          <c:cat>
            <c:numRef>
              <c:f>PDESPESAS.!$H$11:$H$18</c:f>
              <c:numCache>
                <c:formatCode>General</c:formatCode>
                <c:ptCount val="8"/>
                <c:pt idx="0">
                  <c:v>2016</c:v>
                </c:pt>
                <c:pt idx="1">
                  <c:v>2017</c:v>
                </c:pt>
                <c:pt idx="2">
                  <c:v>2018</c:v>
                </c:pt>
                <c:pt idx="3">
                  <c:v>2019</c:v>
                </c:pt>
                <c:pt idx="4">
                  <c:v>2020</c:v>
                </c:pt>
                <c:pt idx="5">
                  <c:v>2021</c:v>
                </c:pt>
                <c:pt idx="6">
                  <c:v>2022</c:v>
                </c:pt>
              </c:numCache>
            </c:numRef>
          </c:cat>
          <c:val>
            <c:numRef>
              <c:f>PDESPESAS.!$I$11:$I$17</c:f>
              <c:numCache>
                <c:formatCode>0.00</c:formatCode>
                <c:ptCount val="7"/>
                <c:pt idx="0">
                  <c:v>8.9266761011852118</c:v>
                </c:pt>
                <c:pt idx="1">
                  <c:v>8.771968462317755</c:v>
                </c:pt>
                <c:pt idx="2">
                  <c:v>8.5788999494583251</c:v>
                </c:pt>
                <c:pt idx="3">
                  <c:v>8.3765605767539988</c:v>
                </c:pt>
                <c:pt idx="4">
                  <c:v>8.3584018539563694</c:v>
                </c:pt>
                <c:pt idx="5">
                  <c:v>8.3229393484556997</c:v>
                </c:pt>
                <c:pt idx="6">
                  <c:v>8.5421288046838075</c:v>
                </c:pt>
              </c:numCache>
            </c:numRef>
          </c:val>
          <c:extLst>
            <c:ext xmlns:c16="http://schemas.microsoft.com/office/drawing/2014/chart" uri="{C3380CC4-5D6E-409C-BE32-E72D297353CC}">
              <c16:uniqueId val="{00000002-B910-47B2-B890-E476121A7D09}"/>
            </c:ext>
          </c:extLst>
        </c:ser>
        <c:ser>
          <c:idx val="1"/>
          <c:order val="3"/>
          <c:tx>
            <c:v>CONSTRUÇÃO CIVIL</c:v>
          </c:tx>
          <c:spPr>
            <a:solidFill>
              <a:schemeClr val="accent2"/>
            </a:solidFill>
            <a:ln>
              <a:noFill/>
            </a:ln>
            <a:effectLst/>
          </c:spPr>
          <c:invertIfNegative val="0"/>
          <c:cat>
            <c:numRef>
              <c:f>PDESPESAS.!$H$11:$H$18</c:f>
              <c:numCache>
                <c:formatCode>General</c:formatCode>
                <c:ptCount val="8"/>
                <c:pt idx="0">
                  <c:v>2016</c:v>
                </c:pt>
                <c:pt idx="1">
                  <c:v>2017</c:v>
                </c:pt>
                <c:pt idx="2">
                  <c:v>2018</c:v>
                </c:pt>
                <c:pt idx="3">
                  <c:v>2019</c:v>
                </c:pt>
                <c:pt idx="4">
                  <c:v>2020</c:v>
                </c:pt>
                <c:pt idx="5">
                  <c:v>2021</c:v>
                </c:pt>
                <c:pt idx="6">
                  <c:v>2022</c:v>
                </c:pt>
              </c:numCache>
            </c:numRef>
          </c:cat>
          <c:val>
            <c:numRef>
              <c:f>PDESPESAS.!$J$11:$J$17</c:f>
              <c:numCache>
                <c:formatCode>0.00</c:formatCode>
                <c:ptCount val="7"/>
                <c:pt idx="0">
                  <c:v>7.1554926587652572</c:v>
                </c:pt>
                <c:pt idx="1">
                  <c:v>6.8118750825882035</c:v>
                </c:pt>
                <c:pt idx="2">
                  <c:v>6.5879974509416126</c:v>
                </c:pt>
                <c:pt idx="3">
                  <c:v>6.7544399507649029</c:v>
                </c:pt>
                <c:pt idx="4">
                  <c:v>6.9969026450074647</c:v>
                </c:pt>
                <c:pt idx="5">
                  <c:v>7.1665644885102422</c:v>
                </c:pt>
                <c:pt idx="6">
                  <c:v>8.3530310193097943</c:v>
                </c:pt>
              </c:numCache>
            </c:numRef>
          </c:val>
          <c:extLst>
            <c:ext xmlns:c16="http://schemas.microsoft.com/office/drawing/2014/chart" uri="{C3380CC4-5D6E-409C-BE32-E72D297353CC}">
              <c16:uniqueId val="{00000003-B910-47B2-B890-E476121A7D09}"/>
            </c:ext>
          </c:extLst>
        </c:ser>
        <c:ser>
          <c:idx val="4"/>
          <c:order val="4"/>
          <c:tx>
            <c:v>AGROPECUÁRIA</c:v>
          </c:tx>
          <c:spPr>
            <a:solidFill>
              <a:schemeClr val="accent5"/>
            </a:solidFill>
            <a:ln>
              <a:noFill/>
            </a:ln>
            <a:effectLst/>
          </c:spPr>
          <c:invertIfNegative val="0"/>
          <c:cat>
            <c:numRef>
              <c:f>PDESPESAS.!$H$11:$H$18</c:f>
              <c:numCache>
                <c:formatCode>General</c:formatCode>
                <c:ptCount val="8"/>
                <c:pt idx="0">
                  <c:v>2016</c:v>
                </c:pt>
                <c:pt idx="1">
                  <c:v>2017</c:v>
                </c:pt>
                <c:pt idx="2">
                  <c:v>2018</c:v>
                </c:pt>
                <c:pt idx="3">
                  <c:v>2019</c:v>
                </c:pt>
                <c:pt idx="4">
                  <c:v>2020</c:v>
                </c:pt>
                <c:pt idx="5">
                  <c:v>2021</c:v>
                </c:pt>
                <c:pt idx="6">
                  <c:v>2022</c:v>
                </c:pt>
              </c:numCache>
            </c:numRef>
          </c:cat>
          <c:val>
            <c:numRef>
              <c:f>PDESPESAS.!$M$11:$M$17</c:f>
              <c:numCache>
                <c:formatCode>0.00</c:formatCode>
                <c:ptCount val="7"/>
                <c:pt idx="0">
                  <c:v>2.6379798337166105</c:v>
                </c:pt>
                <c:pt idx="1">
                  <c:v>2.6185966612341982</c:v>
                </c:pt>
                <c:pt idx="2">
                  <c:v>2.5864152767706066</c:v>
                </c:pt>
                <c:pt idx="3">
                  <c:v>2.4375769298399859</c:v>
                </c:pt>
                <c:pt idx="4">
                  <c:v>2.4154912315885646</c:v>
                </c:pt>
                <c:pt idx="5">
                  <c:v>2.2514428260364037</c:v>
                </c:pt>
                <c:pt idx="6">
                  <c:v>2.3564493254300158</c:v>
                </c:pt>
              </c:numCache>
            </c:numRef>
          </c:val>
          <c:extLst>
            <c:ext xmlns:c16="http://schemas.microsoft.com/office/drawing/2014/chart" uri="{C3380CC4-5D6E-409C-BE32-E72D297353CC}">
              <c16:uniqueId val="{00000004-B910-47B2-B890-E476121A7D09}"/>
            </c:ext>
          </c:extLst>
        </c:ser>
        <c:dLbls>
          <c:showLegendKey val="0"/>
          <c:showVal val="0"/>
          <c:showCatName val="0"/>
          <c:showSerName val="0"/>
          <c:showPercent val="0"/>
          <c:showBubbleSize val="0"/>
        </c:dLbls>
        <c:gapWidth val="219"/>
        <c:overlap val="-27"/>
        <c:axId val="81227776"/>
        <c:axId val="83139904"/>
      </c:barChart>
      <c:catAx>
        <c:axId val="81227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83139904"/>
        <c:crosses val="autoZero"/>
        <c:auto val="1"/>
        <c:lblAlgn val="ctr"/>
        <c:lblOffset val="100"/>
        <c:noMultiLvlLbl val="0"/>
      </c:catAx>
      <c:valAx>
        <c:axId val="83139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pt-BR"/>
                  <a:t>Percentual</a:t>
                </a:r>
              </a:p>
            </c:rich>
          </c:tx>
          <c:overlay val="0"/>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81227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consulta31957317!$P$2</c:f>
              <c:strCache>
                <c:ptCount val="1"/>
                <c:pt idx="0">
                  <c:v>Extrativa Mineral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consulta31957317!$J$3:$J$10</c:f>
              <c:numCache>
                <c:formatCode>General</c:formatCode>
                <c:ptCount val="8"/>
                <c:pt idx="0">
                  <c:v>2016</c:v>
                </c:pt>
                <c:pt idx="1">
                  <c:v>2017</c:v>
                </c:pt>
                <c:pt idx="2">
                  <c:v>2018</c:v>
                </c:pt>
                <c:pt idx="3">
                  <c:v>2019</c:v>
                </c:pt>
                <c:pt idx="4">
                  <c:v>2020</c:v>
                </c:pt>
                <c:pt idx="5">
                  <c:v>2021</c:v>
                </c:pt>
                <c:pt idx="6">
                  <c:v>2022</c:v>
                </c:pt>
              </c:numCache>
            </c:numRef>
          </c:cat>
          <c:val>
            <c:numRef>
              <c:f>consulta31957317!$P$3:$P$9</c:f>
              <c:numCache>
                <c:formatCode>General</c:formatCode>
                <c:ptCount val="7"/>
                <c:pt idx="0">
                  <c:v>2.2200000000000002</c:v>
                </c:pt>
                <c:pt idx="1">
                  <c:v>2.2599999999999998</c:v>
                </c:pt>
                <c:pt idx="2">
                  <c:v>2.46</c:v>
                </c:pt>
                <c:pt idx="3">
                  <c:v>2.56</c:v>
                </c:pt>
                <c:pt idx="4">
                  <c:v>2.5299999999999998</c:v>
                </c:pt>
                <c:pt idx="5">
                  <c:v>2.59</c:v>
                </c:pt>
                <c:pt idx="6">
                  <c:v>1.57</c:v>
                </c:pt>
              </c:numCache>
            </c:numRef>
          </c:val>
          <c:smooth val="0"/>
          <c:extLst>
            <c:ext xmlns:c16="http://schemas.microsoft.com/office/drawing/2014/chart" uri="{C3380CC4-5D6E-409C-BE32-E72D297353CC}">
              <c16:uniqueId val="{00000000-9729-49A3-A6C2-AB4A304F4703}"/>
            </c:ext>
          </c:extLst>
        </c:ser>
        <c:ser>
          <c:idx val="1"/>
          <c:order val="1"/>
          <c:tx>
            <c:strRef>
              <c:f>consulta31957317!$Q$2</c:f>
              <c:strCache>
                <c:ptCount val="1"/>
                <c:pt idx="0">
                  <c:v> Indústria de Transformação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consulta31957317!$J$3:$J$10</c:f>
              <c:numCache>
                <c:formatCode>General</c:formatCode>
                <c:ptCount val="8"/>
                <c:pt idx="0">
                  <c:v>2016</c:v>
                </c:pt>
                <c:pt idx="1">
                  <c:v>2017</c:v>
                </c:pt>
                <c:pt idx="2">
                  <c:v>2018</c:v>
                </c:pt>
                <c:pt idx="3">
                  <c:v>2019</c:v>
                </c:pt>
                <c:pt idx="4">
                  <c:v>2020</c:v>
                </c:pt>
                <c:pt idx="5">
                  <c:v>2021</c:v>
                </c:pt>
                <c:pt idx="6">
                  <c:v>2022</c:v>
                </c:pt>
              </c:numCache>
            </c:numRef>
          </c:cat>
          <c:val>
            <c:numRef>
              <c:f>consulta31957317!$Q$3:$Q$9</c:f>
              <c:numCache>
                <c:formatCode>General</c:formatCode>
                <c:ptCount val="7"/>
                <c:pt idx="0">
                  <c:v>56.38</c:v>
                </c:pt>
                <c:pt idx="1">
                  <c:v>58.46</c:v>
                </c:pt>
                <c:pt idx="2">
                  <c:v>59.27</c:v>
                </c:pt>
                <c:pt idx="3">
                  <c:v>60.06</c:v>
                </c:pt>
                <c:pt idx="4">
                  <c:v>56.81</c:v>
                </c:pt>
                <c:pt idx="5">
                  <c:v>56.64</c:v>
                </c:pt>
                <c:pt idx="6">
                  <c:v>43.02</c:v>
                </c:pt>
              </c:numCache>
            </c:numRef>
          </c:val>
          <c:smooth val="0"/>
          <c:extLst>
            <c:ext xmlns:c16="http://schemas.microsoft.com/office/drawing/2014/chart" uri="{C3380CC4-5D6E-409C-BE32-E72D297353CC}">
              <c16:uniqueId val="{00000001-9729-49A3-A6C2-AB4A304F4703}"/>
            </c:ext>
          </c:extLst>
        </c:ser>
        <c:ser>
          <c:idx val="2"/>
          <c:order val="2"/>
          <c:tx>
            <c:strRef>
              <c:f>consulta31957317!$R$2</c:f>
              <c:strCache>
                <c:ptCount val="1"/>
                <c:pt idx="0">
                  <c:v> Servicos Industriais de Utilidade Pública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consulta31957317!$J$3:$J$10</c:f>
              <c:numCache>
                <c:formatCode>General</c:formatCode>
                <c:ptCount val="8"/>
                <c:pt idx="0">
                  <c:v>2016</c:v>
                </c:pt>
                <c:pt idx="1">
                  <c:v>2017</c:v>
                </c:pt>
                <c:pt idx="2">
                  <c:v>2018</c:v>
                </c:pt>
                <c:pt idx="3">
                  <c:v>2019</c:v>
                </c:pt>
                <c:pt idx="4">
                  <c:v>2020</c:v>
                </c:pt>
                <c:pt idx="5">
                  <c:v>2021</c:v>
                </c:pt>
                <c:pt idx="6">
                  <c:v>2022</c:v>
                </c:pt>
              </c:numCache>
            </c:numRef>
          </c:cat>
          <c:val>
            <c:numRef>
              <c:f>consulta31957317!$R$3:$R$9</c:f>
              <c:numCache>
                <c:formatCode>General</c:formatCode>
                <c:ptCount val="7"/>
                <c:pt idx="0">
                  <c:v>3.83</c:v>
                </c:pt>
                <c:pt idx="1">
                  <c:v>3.83</c:v>
                </c:pt>
                <c:pt idx="2">
                  <c:v>3.86</c:v>
                </c:pt>
                <c:pt idx="3">
                  <c:v>4.3499999999999996</c:v>
                </c:pt>
                <c:pt idx="4">
                  <c:v>4.38</c:v>
                </c:pt>
                <c:pt idx="5">
                  <c:v>3.94</c:v>
                </c:pt>
                <c:pt idx="6">
                  <c:v>2.38</c:v>
                </c:pt>
              </c:numCache>
            </c:numRef>
          </c:val>
          <c:smooth val="0"/>
          <c:extLst>
            <c:ext xmlns:c16="http://schemas.microsoft.com/office/drawing/2014/chart" uri="{C3380CC4-5D6E-409C-BE32-E72D297353CC}">
              <c16:uniqueId val="{00000002-9729-49A3-A6C2-AB4A304F4703}"/>
            </c:ext>
          </c:extLst>
        </c:ser>
        <c:ser>
          <c:idx val="3"/>
          <c:order val="3"/>
          <c:tx>
            <c:strRef>
              <c:f>consulta31957317!$S$2</c:f>
              <c:strCache>
                <c:ptCount val="1"/>
                <c:pt idx="0">
                  <c:v> Construção Civil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consulta31957317!$J$3:$J$10</c:f>
              <c:numCache>
                <c:formatCode>General</c:formatCode>
                <c:ptCount val="8"/>
                <c:pt idx="0">
                  <c:v>2016</c:v>
                </c:pt>
                <c:pt idx="1">
                  <c:v>2017</c:v>
                </c:pt>
                <c:pt idx="2">
                  <c:v>2018</c:v>
                </c:pt>
                <c:pt idx="3">
                  <c:v>2019</c:v>
                </c:pt>
                <c:pt idx="4">
                  <c:v>2020</c:v>
                </c:pt>
                <c:pt idx="5">
                  <c:v>2021</c:v>
                </c:pt>
                <c:pt idx="6">
                  <c:v>2022</c:v>
                </c:pt>
              </c:numCache>
            </c:numRef>
          </c:cat>
          <c:val>
            <c:numRef>
              <c:f>consulta31957317!$S$3:$S$9</c:f>
              <c:numCache>
                <c:formatCode>General</c:formatCode>
                <c:ptCount val="7"/>
                <c:pt idx="0">
                  <c:v>37.58</c:v>
                </c:pt>
                <c:pt idx="1">
                  <c:v>35.450000000000003</c:v>
                </c:pt>
                <c:pt idx="2">
                  <c:v>34.409999999999997</c:v>
                </c:pt>
                <c:pt idx="3">
                  <c:v>33.04</c:v>
                </c:pt>
                <c:pt idx="4">
                  <c:v>36.28</c:v>
                </c:pt>
                <c:pt idx="5">
                  <c:v>36.83</c:v>
                </c:pt>
                <c:pt idx="6">
                  <c:v>53.04</c:v>
                </c:pt>
              </c:numCache>
            </c:numRef>
          </c:val>
          <c:smooth val="0"/>
          <c:extLst>
            <c:ext xmlns:c16="http://schemas.microsoft.com/office/drawing/2014/chart" uri="{C3380CC4-5D6E-409C-BE32-E72D297353CC}">
              <c16:uniqueId val="{00000003-9729-49A3-A6C2-AB4A304F4703}"/>
            </c:ext>
          </c:extLst>
        </c:ser>
        <c:dLbls>
          <c:showLegendKey val="0"/>
          <c:showVal val="0"/>
          <c:showCatName val="0"/>
          <c:showSerName val="0"/>
          <c:showPercent val="0"/>
          <c:showBubbleSize val="0"/>
        </c:dLbls>
        <c:marker val="1"/>
        <c:smooth val="0"/>
        <c:axId val="81091072"/>
        <c:axId val="162620544"/>
      </c:lineChart>
      <c:catAx>
        <c:axId val="81091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62620544"/>
        <c:crosses val="autoZero"/>
        <c:auto val="1"/>
        <c:lblAlgn val="ctr"/>
        <c:lblOffset val="100"/>
        <c:noMultiLvlLbl val="0"/>
      </c:catAx>
      <c:valAx>
        <c:axId val="162620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pt-BR"/>
                  <a:t>Percentual</a:t>
                </a:r>
              </a:p>
            </c:rich>
          </c:tx>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8109107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consulta74025441!$G$1</c:f>
              <c:strCache>
                <c:ptCount val="1"/>
                <c:pt idx="0">
                  <c:v>Indústria de Transformação</c:v>
                </c:pt>
              </c:strCache>
            </c:strRef>
          </c:tx>
          <c:spPr>
            <a:solidFill>
              <a:schemeClr val="accent1"/>
            </a:solidFill>
            <a:ln>
              <a:noFill/>
            </a:ln>
            <a:effectLst/>
          </c:spPr>
          <c:invertIfNegative val="0"/>
          <c:cat>
            <c:numRef>
              <c:f>consulta74025441!$L$2:$L$8</c:f>
              <c:numCache>
                <c:formatCode>General</c:formatCode>
                <c:ptCount val="7"/>
                <c:pt idx="0">
                  <c:v>2016</c:v>
                </c:pt>
                <c:pt idx="1">
                  <c:v>2017</c:v>
                </c:pt>
                <c:pt idx="2">
                  <c:v>2018</c:v>
                </c:pt>
                <c:pt idx="3">
                  <c:v>2019</c:v>
                </c:pt>
                <c:pt idx="4">
                  <c:v>2020</c:v>
                </c:pt>
                <c:pt idx="5">
                  <c:v>2021</c:v>
                </c:pt>
                <c:pt idx="6">
                  <c:v>2022</c:v>
                </c:pt>
              </c:numCache>
            </c:numRef>
          </c:cat>
          <c:val>
            <c:numRef>
              <c:f>consulta74025441!$G$2:$G$8</c:f>
              <c:numCache>
                <c:formatCode>0.00</c:formatCode>
                <c:ptCount val="7"/>
                <c:pt idx="0">
                  <c:v>67.827824777745917</c:v>
                </c:pt>
                <c:pt idx="1">
                  <c:v>66.759255736083105</c:v>
                </c:pt>
                <c:pt idx="2">
                  <c:v>66.403106389827784</c:v>
                </c:pt>
                <c:pt idx="3">
                  <c:v>69.413564288176488</c:v>
                </c:pt>
                <c:pt idx="4">
                  <c:v>68.928637285635247</c:v>
                </c:pt>
                <c:pt idx="5">
                  <c:v>68.158344197515902</c:v>
                </c:pt>
                <c:pt idx="6">
                  <c:v>67.527355217507335</c:v>
                </c:pt>
              </c:numCache>
            </c:numRef>
          </c:val>
          <c:extLst>
            <c:ext xmlns:c16="http://schemas.microsoft.com/office/drawing/2014/chart" uri="{C3380CC4-5D6E-409C-BE32-E72D297353CC}">
              <c16:uniqueId val="{00000000-BB18-41AC-88D4-79F31AE6A607}"/>
            </c:ext>
          </c:extLst>
        </c:ser>
        <c:ser>
          <c:idx val="1"/>
          <c:order val="1"/>
          <c:tx>
            <c:strRef>
              <c:f>consulta74025441!$H$1</c:f>
              <c:strCache>
                <c:ptCount val="1"/>
                <c:pt idx="0">
                  <c:v>Construção Civil</c:v>
                </c:pt>
              </c:strCache>
            </c:strRef>
          </c:tx>
          <c:spPr>
            <a:solidFill>
              <a:schemeClr val="accent2"/>
            </a:solidFill>
            <a:ln>
              <a:noFill/>
            </a:ln>
            <a:effectLst/>
          </c:spPr>
          <c:invertIfNegative val="0"/>
          <c:cat>
            <c:numRef>
              <c:f>consulta74025441!$L$2:$L$8</c:f>
              <c:numCache>
                <c:formatCode>General</c:formatCode>
                <c:ptCount val="7"/>
                <c:pt idx="0">
                  <c:v>2016</c:v>
                </c:pt>
                <c:pt idx="1">
                  <c:v>2017</c:v>
                </c:pt>
                <c:pt idx="2">
                  <c:v>2018</c:v>
                </c:pt>
                <c:pt idx="3">
                  <c:v>2019</c:v>
                </c:pt>
                <c:pt idx="4">
                  <c:v>2020</c:v>
                </c:pt>
                <c:pt idx="5">
                  <c:v>2021</c:v>
                </c:pt>
                <c:pt idx="6">
                  <c:v>2022</c:v>
                </c:pt>
              </c:numCache>
            </c:numRef>
          </c:cat>
          <c:val>
            <c:numRef>
              <c:f>consulta74025441!$H$2:$H$8</c:f>
              <c:numCache>
                <c:formatCode>0.00</c:formatCode>
                <c:ptCount val="7"/>
                <c:pt idx="0">
                  <c:v>24.422856323487238</c:v>
                </c:pt>
                <c:pt idx="1">
                  <c:v>25.686807960123282</c:v>
                </c:pt>
                <c:pt idx="2">
                  <c:v>25.754466441332692</c:v>
                </c:pt>
                <c:pt idx="3">
                  <c:v>21.701568424681145</c:v>
                </c:pt>
                <c:pt idx="4">
                  <c:v>22.636097281127707</c:v>
                </c:pt>
                <c:pt idx="5">
                  <c:v>23.424188218172997</c:v>
                </c:pt>
                <c:pt idx="6">
                  <c:v>24.458614510656144</c:v>
                </c:pt>
              </c:numCache>
            </c:numRef>
          </c:val>
          <c:extLst>
            <c:ext xmlns:c16="http://schemas.microsoft.com/office/drawing/2014/chart" uri="{C3380CC4-5D6E-409C-BE32-E72D297353CC}">
              <c16:uniqueId val="{00000001-BB18-41AC-88D4-79F31AE6A607}"/>
            </c:ext>
          </c:extLst>
        </c:ser>
        <c:ser>
          <c:idx val="2"/>
          <c:order val="2"/>
          <c:tx>
            <c:strRef>
              <c:f>consulta74025441!$I$1</c:f>
              <c:strCache>
                <c:ptCount val="1"/>
                <c:pt idx="0">
                  <c:v>Servicos Industriais de Utilidade Pública</c:v>
                </c:pt>
              </c:strCache>
            </c:strRef>
          </c:tx>
          <c:spPr>
            <a:solidFill>
              <a:schemeClr val="accent3"/>
            </a:solidFill>
            <a:ln>
              <a:noFill/>
            </a:ln>
            <a:effectLst/>
          </c:spPr>
          <c:invertIfNegative val="0"/>
          <c:cat>
            <c:numRef>
              <c:f>consulta74025441!$L$2:$L$8</c:f>
              <c:numCache>
                <c:formatCode>General</c:formatCode>
                <c:ptCount val="7"/>
                <c:pt idx="0">
                  <c:v>2016</c:v>
                </c:pt>
                <c:pt idx="1">
                  <c:v>2017</c:v>
                </c:pt>
                <c:pt idx="2">
                  <c:v>2018</c:v>
                </c:pt>
                <c:pt idx="3">
                  <c:v>2019</c:v>
                </c:pt>
                <c:pt idx="4">
                  <c:v>2020</c:v>
                </c:pt>
                <c:pt idx="5">
                  <c:v>2021</c:v>
                </c:pt>
                <c:pt idx="6">
                  <c:v>2022</c:v>
                </c:pt>
              </c:numCache>
            </c:numRef>
          </c:cat>
          <c:val>
            <c:numRef>
              <c:f>consulta74025441!$I$2:$I$8</c:f>
              <c:numCache>
                <c:formatCode>0.00</c:formatCode>
                <c:ptCount val="7"/>
                <c:pt idx="0">
                  <c:v>6.6156438199024947</c:v>
                </c:pt>
                <c:pt idx="1">
                  <c:v>6.3220577603591952</c:v>
                </c:pt>
                <c:pt idx="2">
                  <c:v>6.7217930146467086</c:v>
                </c:pt>
                <c:pt idx="3">
                  <c:v>7.6137538779731129</c:v>
                </c:pt>
                <c:pt idx="4">
                  <c:v>7.1956891429508065</c:v>
                </c:pt>
                <c:pt idx="5">
                  <c:v>7.23807213817219</c:v>
                </c:pt>
                <c:pt idx="6">
                  <c:v>6.9407907278203522</c:v>
                </c:pt>
              </c:numCache>
            </c:numRef>
          </c:val>
          <c:extLst>
            <c:ext xmlns:c16="http://schemas.microsoft.com/office/drawing/2014/chart" uri="{C3380CC4-5D6E-409C-BE32-E72D297353CC}">
              <c16:uniqueId val="{00000002-BB18-41AC-88D4-79F31AE6A607}"/>
            </c:ext>
          </c:extLst>
        </c:ser>
        <c:ser>
          <c:idx val="3"/>
          <c:order val="3"/>
          <c:tx>
            <c:strRef>
              <c:f>consulta74025441!$J$1</c:f>
              <c:strCache>
                <c:ptCount val="1"/>
                <c:pt idx="0">
                  <c:v>Extrativa Mineral</c:v>
                </c:pt>
              </c:strCache>
            </c:strRef>
          </c:tx>
          <c:spPr>
            <a:solidFill>
              <a:schemeClr val="accent4"/>
            </a:solidFill>
            <a:ln>
              <a:noFill/>
            </a:ln>
            <a:effectLst/>
          </c:spPr>
          <c:invertIfNegative val="0"/>
          <c:cat>
            <c:numRef>
              <c:f>consulta74025441!$L$2:$L$8</c:f>
              <c:numCache>
                <c:formatCode>General</c:formatCode>
                <c:ptCount val="7"/>
                <c:pt idx="0">
                  <c:v>2016</c:v>
                </c:pt>
                <c:pt idx="1">
                  <c:v>2017</c:v>
                </c:pt>
                <c:pt idx="2">
                  <c:v>2018</c:v>
                </c:pt>
                <c:pt idx="3">
                  <c:v>2019</c:v>
                </c:pt>
                <c:pt idx="4">
                  <c:v>2020</c:v>
                </c:pt>
                <c:pt idx="5">
                  <c:v>2021</c:v>
                </c:pt>
                <c:pt idx="6">
                  <c:v>2022</c:v>
                </c:pt>
              </c:numCache>
            </c:numRef>
          </c:cat>
          <c:val>
            <c:numRef>
              <c:f>consulta74025441!$J$2:$J$8</c:f>
              <c:numCache>
                <c:formatCode>0.00</c:formatCode>
                <c:ptCount val="7"/>
                <c:pt idx="0">
                  <c:v>1.1336750788643535</c:v>
                </c:pt>
                <c:pt idx="1">
                  <c:v>1.2318785434344204</c:v>
                </c:pt>
                <c:pt idx="2">
                  <c:v>1.1206341541928215</c:v>
                </c:pt>
                <c:pt idx="3">
                  <c:v>1.271113409169252</c:v>
                </c:pt>
                <c:pt idx="4">
                  <c:v>1.2395762902862295</c:v>
                </c:pt>
                <c:pt idx="5">
                  <c:v>1.17939544613892</c:v>
                </c:pt>
                <c:pt idx="6">
                  <c:v>1.0732395440161653</c:v>
                </c:pt>
              </c:numCache>
            </c:numRef>
          </c:val>
          <c:extLst>
            <c:ext xmlns:c16="http://schemas.microsoft.com/office/drawing/2014/chart" uri="{C3380CC4-5D6E-409C-BE32-E72D297353CC}">
              <c16:uniqueId val="{00000003-BB18-41AC-88D4-79F31AE6A607}"/>
            </c:ext>
          </c:extLst>
        </c:ser>
        <c:dLbls>
          <c:showLegendKey val="0"/>
          <c:showVal val="0"/>
          <c:showCatName val="0"/>
          <c:showSerName val="0"/>
          <c:showPercent val="0"/>
          <c:showBubbleSize val="0"/>
        </c:dLbls>
        <c:gapWidth val="219"/>
        <c:overlap val="-27"/>
        <c:axId val="81091584"/>
        <c:axId val="162622272"/>
      </c:barChart>
      <c:catAx>
        <c:axId val="81091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62622272"/>
        <c:crosses val="autoZero"/>
        <c:auto val="1"/>
        <c:lblAlgn val="ctr"/>
        <c:lblOffset val="100"/>
        <c:noMultiLvlLbl val="0"/>
      </c:catAx>
      <c:valAx>
        <c:axId val="1626222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81091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109A8-1D52-41B7-AC56-4E50AF31D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5592</Words>
  <Characters>32269</Characters>
  <Application>Microsoft Office Word</Application>
  <DocSecurity>0</DocSecurity>
  <Lines>849</Lines>
  <Paragraphs>386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JOSÉ ANTONIO GONÇALVES DOS SANTOS</cp:lastModifiedBy>
  <cp:revision>2</cp:revision>
  <cp:lastPrinted>2025-10-11T17:25:00Z</cp:lastPrinted>
  <dcterms:created xsi:type="dcterms:W3CDTF">2025-11-28T16:44:00Z</dcterms:created>
  <dcterms:modified xsi:type="dcterms:W3CDTF">2025-11-28T16:44:00Z</dcterms:modified>
</cp:coreProperties>
</file>