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66815" w14:textId="77777777" w:rsidR="008510B1" w:rsidRDefault="008510B1">
      <w:pPr>
        <w:widowControl w:val="0"/>
        <w:pBdr>
          <w:top w:val="nil"/>
          <w:left w:val="nil"/>
          <w:bottom w:val="nil"/>
          <w:right w:val="nil"/>
          <w:between w:val="nil"/>
        </w:pBdr>
        <w:spacing w:line="239" w:lineRule="auto"/>
        <w:jc w:val="center"/>
        <w:rPr>
          <w:rFonts w:ascii="Times New Roman" w:eastAsia="Times New Roman" w:hAnsi="Times New Roman" w:cs="Times New Roman"/>
          <w:b/>
          <w:sz w:val="28"/>
          <w:szCs w:val="28"/>
        </w:rPr>
      </w:pPr>
    </w:p>
    <w:p w14:paraId="1CB82B9D" w14:textId="77777777" w:rsidR="00AD3A74" w:rsidRPr="00AD3A74" w:rsidRDefault="00AD3A74" w:rsidP="00AD3A74">
      <w:pPr>
        <w:spacing w:line="240" w:lineRule="auto"/>
        <w:jc w:val="center"/>
        <w:rPr>
          <w:rFonts w:ascii="Times New Roman" w:eastAsia="Times New Roman" w:hAnsi="Times New Roman" w:cs="Times New Roman"/>
          <w:b/>
        </w:rPr>
      </w:pPr>
      <w:r w:rsidRPr="00AD3A74">
        <w:rPr>
          <w:rFonts w:ascii="Times New Roman" w:eastAsia="Times New Roman" w:hAnsi="Times New Roman" w:cs="Times New Roman"/>
          <w:b/>
        </w:rPr>
        <w:t>CICLOS POLÍTICOS ELEITORAIS E ESFORÇO FISCAL DE DIFERENTES</w:t>
      </w:r>
    </w:p>
    <w:p w14:paraId="606DD4B7" w14:textId="77777777" w:rsidR="00AD3A74" w:rsidRPr="00AD3A74" w:rsidRDefault="00AD3A74" w:rsidP="00AD3A74">
      <w:pPr>
        <w:spacing w:line="240" w:lineRule="auto"/>
        <w:jc w:val="center"/>
        <w:rPr>
          <w:rFonts w:ascii="Times New Roman" w:eastAsia="Times New Roman" w:hAnsi="Times New Roman" w:cs="Times New Roman"/>
          <w:b/>
        </w:rPr>
      </w:pPr>
      <w:r w:rsidRPr="00AD3A74">
        <w:rPr>
          <w:rFonts w:ascii="Times New Roman" w:eastAsia="Times New Roman" w:hAnsi="Times New Roman" w:cs="Times New Roman"/>
          <w:b/>
        </w:rPr>
        <w:t>PREFEITOS: UMA ANÁLISE SOBRE A ARRECADAÇÃO DO IPTU EM</w:t>
      </w:r>
    </w:p>
    <w:p w14:paraId="6A10AC8A" w14:textId="70865089" w:rsidR="00AD3A74" w:rsidRPr="00AD3A74" w:rsidRDefault="00AD3A74" w:rsidP="00AD3A74">
      <w:pPr>
        <w:widowControl w:val="0"/>
        <w:pBdr>
          <w:top w:val="nil"/>
          <w:left w:val="nil"/>
          <w:bottom w:val="nil"/>
          <w:right w:val="nil"/>
          <w:between w:val="nil"/>
        </w:pBdr>
        <w:spacing w:before="73" w:line="199" w:lineRule="auto"/>
        <w:jc w:val="center"/>
        <w:rPr>
          <w:rFonts w:ascii="Times New Roman" w:eastAsia="Times New Roman" w:hAnsi="Times New Roman" w:cs="Times New Roman"/>
          <w:color w:val="000000"/>
          <w:sz w:val="24"/>
          <w:szCs w:val="24"/>
        </w:rPr>
      </w:pPr>
      <w:r w:rsidRPr="00AD3A74">
        <w:rPr>
          <w:rFonts w:ascii="Times New Roman" w:eastAsia="Times New Roman" w:hAnsi="Times New Roman" w:cs="Times New Roman"/>
          <w:b/>
        </w:rPr>
        <w:t>VITÓRIA DA CONQUISTA</w:t>
      </w:r>
    </w:p>
    <w:p w14:paraId="7EBC352E" w14:textId="77777777" w:rsidR="00B31A02" w:rsidRDefault="00B31A02" w:rsidP="00AD3A74">
      <w:pPr>
        <w:widowControl w:val="0"/>
        <w:pBdr>
          <w:top w:val="nil"/>
          <w:left w:val="nil"/>
          <w:bottom w:val="nil"/>
          <w:right w:val="nil"/>
          <w:between w:val="nil"/>
        </w:pBdr>
        <w:spacing w:before="73" w:line="199" w:lineRule="auto"/>
        <w:jc w:val="center"/>
        <w:rPr>
          <w:rFonts w:ascii="Times New Roman" w:eastAsia="Times New Roman" w:hAnsi="Times New Roman" w:cs="Times New Roman"/>
          <w:i/>
          <w:color w:val="000000"/>
          <w:sz w:val="24"/>
          <w:szCs w:val="24"/>
        </w:rPr>
      </w:pPr>
    </w:p>
    <w:p w14:paraId="1557CD88" w14:textId="2B5F368B" w:rsidR="00AD3A74" w:rsidRPr="00AD3A74" w:rsidRDefault="00AD3A74" w:rsidP="00AD3A74">
      <w:pPr>
        <w:widowControl w:val="0"/>
        <w:pBdr>
          <w:top w:val="nil"/>
          <w:left w:val="nil"/>
          <w:bottom w:val="nil"/>
          <w:right w:val="nil"/>
          <w:between w:val="nil"/>
        </w:pBdr>
        <w:spacing w:before="73" w:line="199" w:lineRule="auto"/>
        <w:jc w:val="center"/>
        <w:rPr>
          <w:rFonts w:ascii="Times New Roman" w:eastAsia="Times New Roman" w:hAnsi="Times New Roman" w:cs="Times New Roman"/>
          <w:i/>
          <w:color w:val="000000"/>
          <w:sz w:val="24"/>
          <w:szCs w:val="24"/>
        </w:rPr>
      </w:pPr>
      <w:r w:rsidRPr="00AD3A74">
        <w:rPr>
          <w:rFonts w:ascii="Times New Roman" w:eastAsia="Times New Roman" w:hAnsi="Times New Roman" w:cs="Times New Roman"/>
          <w:i/>
          <w:color w:val="000000"/>
          <w:sz w:val="24"/>
          <w:szCs w:val="24"/>
        </w:rPr>
        <w:t>GT2 - Macroeconomia, Economia Internacional, Economia Brasileira, Economia</w:t>
      </w:r>
    </w:p>
    <w:p w14:paraId="64749320" w14:textId="77777777" w:rsidR="00AD3A74" w:rsidRDefault="00AD3A74" w:rsidP="00AD3A74">
      <w:pPr>
        <w:widowControl w:val="0"/>
        <w:pBdr>
          <w:top w:val="nil"/>
          <w:left w:val="nil"/>
          <w:bottom w:val="nil"/>
          <w:right w:val="nil"/>
          <w:between w:val="nil"/>
        </w:pBdr>
        <w:spacing w:before="73" w:line="199" w:lineRule="auto"/>
        <w:jc w:val="center"/>
        <w:rPr>
          <w:rFonts w:ascii="Times New Roman" w:eastAsia="Times New Roman" w:hAnsi="Times New Roman" w:cs="Times New Roman"/>
          <w:i/>
          <w:color w:val="000000"/>
          <w:sz w:val="24"/>
          <w:szCs w:val="24"/>
        </w:rPr>
      </w:pPr>
      <w:r w:rsidRPr="00AD3A74">
        <w:rPr>
          <w:rFonts w:ascii="Times New Roman" w:eastAsia="Times New Roman" w:hAnsi="Times New Roman" w:cs="Times New Roman"/>
          <w:i/>
          <w:color w:val="000000"/>
          <w:sz w:val="24"/>
          <w:szCs w:val="24"/>
        </w:rPr>
        <w:t>Regional e Economia Baiana.</w:t>
      </w:r>
    </w:p>
    <w:p w14:paraId="5361AAEA" w14:textId="7FA93EA5" w:rsidR="00C137E1" w:rsidRDefault="00C137E1" w:rsidP="00C137E1">
      <w:pPr>
        <w:widowControl w:val="0"/>
        <w:pBdr>
          <w:top w:val="nil"/>
          <w:left w:val="nil"/>
          <w:bottom w:val="nil"/>
          <w:right w:val="nil"/>
          <w:between w:val="nil"/>
        </w:pBdr>
        <w:spacing w:before="73" w:line="199" w:lineRule="auto"/>
        <w:jc w:val="right"/>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Gisele Calazans da Silva</w:t>
      </w:r>
      <w:r>
        <w:rPr>
          <w:rStyle w:val="Refdenotaderodap"/>
          <w:rFonts w:ascii="Times New Roman" w:eastAsia="Times New Roman" w:hAnsi="Times New Roman" w:cs="Times New Roman"/>
          <w:iCs/>
          <w:color w:val="000000"/>
          <w:sz w:val="24"/>
          <w:szCs w:val="24"/>
        </w:rPr>
        <w:footnoteReference w:id="1"/>
      </w:r>
    </w:p>
    <w:p w14:paraId="0F97A7E8" w14:textId="4BE62806" w:rsidR="00C137E1" w:rsidRDefault="00C137E1" w:rsidP="00C137E1">
      <w:pPr>
        <w:widowControl w:val="0"/>
        <w:pBdr>
          <w:top w:val="nil"/>
          <w:left w:val="nil"/>
          <w:bottom w:val="nil"/>
          <w:right w:val="nil"/>
          <w:between w:val="nil"/>
        </w:pBdr>
        <w:spacing w:before="73" w:line="199" w:lineRule="auto"/>
        <w:jc w:val="right"/>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Roberto Paulo M. Lopes</w:t>
      </w:r>
      <w:r>
        <w:rPr>
          <w:rStyle w:val="Refdenotaderodap"/>
          <w:rFonts w:ascii="Times New Roman" w:eastAsia="Times New Roman" w:hAnsi="Times New Roman" w:cs="Times New Roman"/>
          <w:iCs/>
          <w:color w:val="000000"/>
          <w:sz w:val="24"/>
          <w:szCs w:val="24"/>
        </w:rPr>
        <w:footnoteReference w:id="2"/>
      </w:r>
    </w:p>
    <w:p w14:paraId="0425289B" w14:textId="77777777" w:rsidR="00C137E1" w:rsidRPr="00C137E1" w:rsidRDefault="00C137E1" w:rsidP="00C137E1">
      <w:pPr>
        <w:widowControl w:val="0"/>
        <w:pBdr>
          <w:top w:val="nil"/>
          <w:left w:val="nil"/>
          <w:bottom w:val="nil"/>
          <w:right w:val="nil"/>
          <w:between w:val="nil"/>
        </w:pBdr>
        <w:spacing w:before="73" w:line="199" w:lineRule="auto"/>
        <w:jc w:val="right"/>
        <w:rPr>
          <w:rFonts w:ascii="Times New Roman" w:eastAsia="Times New Roman" w:hAnsi="Times New Roman" w:cs="Times New Roman"/>
          <w:iCs/>
          <w:color w:val="000000"/>
          <w:sz w:val="24"/>
          <w:szCs w:val="24"/>
        </w:rPr>
      </w:pPr>
    </w:p>
    <w:p w14:paraId="2EF6C1AB" w14:textId="77777777" w:rsidR="00AD3A74" w:rsidRPr="00AD3A74" w:rsidRDefault="00AD3A74" w:rsidP="00AD3A74">
      <w:pPr>
        <w:jc w:val="both"/>
        <w:rPr>
          <w:rFonts w:ascii="Times New Roman" w:eastAsia="Times New Roman" w:hAnsi="Times New Roman" w:cs="Times New Roman"/>
        </w:rPr>
      </w:pPr>
    </w:p>
    <w:p w14:paraId="35CCF609" w14:textId="39051996" w:rsidR="00AD3A74" w:rsidRPr="00AD3A74" w:rsidRDefault="00AD3A74" w:rsidP="00AD3A74">
      <w:pPr>
        <w:spacing w:line="240" w:lineRule="auto"/>
        <w:jc w:val="both"/>
        <w:rPr>
          <w:rFonts w:ascii="Times New Roman" w:eastAsia="SimSun" w:hAnsi="Times New Roman" w:cs="Times New Roman"/>
          <w:color w:val="000000"/>
          <w:sz w:val="24"/>
          <w:szCs w:val="24"/>
        </w:rPr>
      </w:pPr>
      <w:r w:rsidRPr="00AD3A74">
        <w:rPr>
          <w:rFonts w:ascii="Times New Roman" w:eastAsia="Times New Roman" w:hAnsi="Times New Roman" w:cs="Times New Roman"/>
          <w:b/>
          <w:bCs/>
          <w:sz w:val="24"/>
          <w:szCs w:val="24"/>
        </w:rPr>
        <w:t xml:space="preserve">Resumo: </w:t>
      </w:r>
      <w:r w:rsidRPr="00AD3A74">
        <w:rPr>
          <w:rFonts w:ascii="Times New Roman" w:eastAsia="SimSun" w:hAnsi="Times New Roman" w:cs="Times New Roman"/>
          <w:color w:val="000000"/>
          <w:sz w:val="24"/>
          <w:szCs w:val="24"/>
        </w:rPr>
        <w:t xml:space="preserve">Este trabalho tem por </w:t>
      </w:r>
      <w:r w:rsidRPr="00AD3A74">
        <w:rPr>
          <w:rFonts w:ascii="Times New Roman" w:eastAsia="Times New Roman" w:hAnsi="Times New Roman" w:cs="Times New Roman"/>
          <w:color w:val="000000"/>
          <w:sz w:val="24"/>
          <w:szCs w:val="24"/>
        </w:rPr>
        <w:t xml:space="preserve">objetivo </w:t>
      </w:r>
      <w:r w:rsidRPr="00AD3A74">
        <w:rPr>
          <w:rFonts w:ascii="Times New Roman" w:eastAsia="Times New Roman" w:hAnsi="Times New Roman" w:cs="Times New Roman"/>
          <w:sz w:val="24"/>
          <w:szCs w:val="24"/>
        </w:rPr>
        <w:t>analisar o desempenho fiscal de diferentes prefeitos de Vitória da Conquista na arrecadação dos impostos de sua competência buscando identificar possíveis comportamentos oportunistas em anos eleitorais</w:t>
      </w:r>
      <w:r w:rsidRPr="00AD3A74">
        <w:rPr>
          <w:rFonts w:ascii="Times New Roman" w:eastAsia="SimSun" w:hAnsi="Times New Roman" w:cs="Times New Roman"/>
          <w:color w:val="000000"/>
          <w:sz w:val="24"/>
          <w:szCs w:val="24"/>
        </w:rPr>
        <w:t xml:space="preserve">. O centro da análise é a arrecadação do Imposto Predial e Territorial Urbano – IPTU, um imposto direto que acarreta maior custo político em sua cobrança. </w:t>
      </w:r>
      <w:r w:rsidRPr="00AD3A74">
        <w:rPr>
          <w:rFonts w:ascii="Times New Roman" w:hAnsi="Times New Roman" w:cs="Times New Roman"/>
          <w:sz w:val="24"/>
          <w:szCs w:val="24"/>
        </w:rPr>
        <w:t xml:space="preserve">A investigação tem por base de análise o referencial teórico sobre descentralização fiscal e a literatura relacionada à Teoria dos Ciclos Políticos. O período de análise envolve o mandato de 3 (três) prefeitos, entre 2013 e 2024, de modo a captar o comportamento prefeitos de partidos diferentes e que apresentam diferenças nas orientações ideológicas dos seus partidos. São estabelecidas hipóteses de </w:t>
      </w:r>
      <w:r w:rsidRPr="00AD3A74">
        <w:rPr>
          <w:rFonts w:ascii="Times New Roman" w:eastAsia="Times New Roman" w:hAnsi="Times New Roman" w:cs="Times New Roman"/>
          <w:sz w:val="24"/>
          <w:szCs w:val="24"/>
        </w:rPr>
        <w:t xml:space="preserve">que apesar das diferenças ideológicas e diferentes conjunturas (crescimento econômico e recessão) os prefeitos não apresentam diferenças no desempenho da arrecadação, se assemelhando no comportamento tributário. </w:t>
      </w:r>
      <w:r w:rsidRPr="00AD3A74">
        <w:rPr>
          <w:rFonts w:ascii="Times New Roman" w:hAnsi="Times New Roman" w:cs="Times New Roman"/>
          <w:sz w:val="24"/>
          <w:szCs w:val="24"/>
        </w:rPr>
        <w:t xml:space="preserve">A presente pesquisa tem natureza exploratória e contempla o uso </w:t>
      </w:r>
      <w:r w:rsidRPr="00AD3A74">
        <w:rPr>
          <w:rFonts w:ascii="Times New Roman" w:eastAsia="Times New Roman" w:hAnsi="Times New Roman" w:cs="Times New Roman"/>
          <w:sz w:val="24"/>
          <w:szCs w:val="24"/>
        </w:rPr>
        <w:t xml:space="preserve">de estatísticas descritivas, fazendo a sistematização dos dados fiscais do município de Vitória da Conquista. Os principais </w:t>
      </w:r>
      <w:r w:rsidRPr="00AD3A74">
        <w:rPr>
          <w:rFonts w:ascii="Times New Roman" w:eastAsia="SimSun" w:hAnsi="Times New Roman" w:cs="Times New Roman"/>
          <w:color w:val="000000"/>
          <w:sz w:val="24"/>
          <w:szCs w:val="24"/>
        </w:rPr>
        <w:t>resultados indicam comportamento oportunista na eleição municipal de 2024. Nos demais anos a presença de componente cíclica negativa dificultaram a análise.</w:t>
      </w:r>
    </w:p>
    <w:p w14:paraId="130792AF" w14:textId="77777777" w:rsidR="00AD3A74" w:rsidRPr="00AD3A74" w:rsidRDefault="00AD3A74" w:rsidP="00AD3A74">
      <w:pPr>
        <w:spacing w:line="240" w:lineRule="auto"/>
        <w:jc w:val="both"/>
        <w:rPr>
          <w:rFonts w:ascii="Times New Roman" w:eastAsia="Times New Roman" w:hAnsi="Times New Roman" w:cs="Times New Roman"/>
          <w:sz w:val="24"/>
          <w:szCs w:val="24"/>
        </w:rPr>
      </w:pPr>
    </w:p>
    <w:p w14:paraId="24930E21" w14:textId="77777777" w:rsidR="00AD3A74" w:rsidRDefault="00AD3A74" w:rsidP="00AD3A74">
      <w:pPr>
        <w:spacing w:line="240" w:lineRule="auto"/>
        <w:jc w:val="both"/>
        <w:rPr>
          <w:rFonts w:ascii="Times New Roman" w:eastAsia="Times New Roman" w:hAnsi="Times New Roman" w:cs="Times New Roman"/>
          <w:sz w:val="24"/>
          <w:szCs w:val="24"/>
        </w:rPr>
      </w:pPr>
      <w:r w:rsidRPr="00AD3A74">
        <w:rPr>
          <w:rFonts w:ascii="Times New Roman" w:eastAsia="Times New Roman" w:hAnsi="Times New Roman" w:cs="Times New Roman"/>
          <w:b/>
          <w:bCs/>
          <w:sz w:val="24"/>
          <w:szCs w:val="24"/>
        </w:rPr>
        <w:t>Palavras-Chave:</w:t>
      </w:r>
      <w:r w:rsidRPr="00AD3A74">
        <w:rPr>
          <w:rFonts w:ascii="Times New Roman" w:eastAsia="Times New Roman" w:hAnsi="Times New Roman" w:cs="Times New Roman"/>
          <w:sz w:val="24"/>
          <w:szCs w:val="24"/>
        </w:rPr>
        <w:t xml:space="preserve"> Esforço de Arrecadação. Ciclos Políticos. Vitória da Conquista. Comportamento Oportunista.  </w:t>
      </w:r>
    </w:p>
    <w:p w14:paraId="1195B54F" w14:textId="77777777" w:rsidR="00AD3A74" w:rsidRPr="00AD3A74" w:rsidRDefault="00AD3A74" w:rsidP="009C2D5D">
      <w:pPr>
        <w:spacing w:before="360" w:after="240"/>
        <w:rPr>
          <w:rFonts w:ascii="Times New Roman" w:eastAsia="Times New Roman" w:hAnsi="Times New Roman" w:cs="Times New Roman"/>
        </w:rPr>
      </w:pPr>
      <w:r w:rsidRPr="00AD3A74">
        <w:rPr>
          <w:rFonts w:ascii="Times New Roman" w:eastAsia="Times New Roman" w:hAnsi="Times New Roman" w:cs="Times New Roman"/>
        </w:rPr>
        <w:t>INTRODUÇÃO</w:t>
      </w:r>
    </w:p>
    <w:p w14:paraId="79B6B738" w14:textId="77777777" w:rsidR="00AD3A74" w:rsidRPr="00AD3A74" w:rsidRDefault="00AD3A74" w:rsidP="00AD3A74">
      <w:pPr>
        <w:spacing w:line="360" w:lineRule="auto"/>
        <w:ind w:firstLine="708"/>
        <w:jc w:val="both"/>
        <w:rPr>
          <w:rFonts w:ascii="Times New Roman" w:eastAsia="Times New Roman" w:hAnsi="Times New Roman" w:cs="Times New Roman"/>
          <w:color w:val="000000"/>
          <w:sz w:val="24"/>
          <w:szCs w:val="24"/>
        </w:rPr>
      </w:pPr>
      <w:r w:rsidRPr="00AD3A74">
        <w:rPr>
          <w:rFonts w:ascii="Times New Roman" w:eastAsia="Times New Roman" w:hAnsi="Times New Roman" w:cs="Times New Roman"/>
          <w:color w:val="000000"/>
          <w:sz w:val="24"/>
          <w:szCs w:val="24"/>
        </w:rPr>
        <w:t xml:space="preserve">O crescimento das demandas sociais, tanto em quantidade quanto </w:t>
      </w:r>
      <w:r w:rsidRPr="00AD3A74">
        <w:rPr>
          <w:rFonts w:ascii="Times New Roman" w:eastAsia="Times New Roman" w:hAnsi="Times New Roman" w:cs="Times New Roman"/>
          <w:sz w:val="24"/>
          <w:szCs w:val="24"/>
        </w:rPr>
        <w:t>em complexidade</w:t>
      </w:r>
      <w:r w:rsidRPr="00AD3A74">
        <w:rPr>
          <w:rFonts w:ascii="Times New Roman" w:eastAsia="Times New Roman" w:hAnsi="Times New Roman" w:cs="Times New Roman"/>
          <w:color w:val="000000"/>
          <w:sz w:val="24"/>
          <w:szCs w:val="24"/>
        </w:rPr>
        <w:t xml:space="preserve">, exige cada vez mais aumento e eficiência da participação do Estado nas economias modernas. Esse aumento da participação se dá de várias formas (regulação da atividade econômica, transferências de renda e produção de bens públicos variados) o que exige a cobrança de grande proporção da renda entre (30% a 50%) gerada pela economia em impostos. Esse crescente envolvimento do estado se dá pela impossibilidade da vida social sem cooperação, não obstante historicamente a economia ter sido focada no comportamento individual. O governo, especialmente o municipal, nada mais é do que uma instituição de cooperação social. </w:t>
      </w:r>
    </w:p>
    <w:p w14:paraId="719FE816" w14:textId="77777777" w:rsidR="00AD3A74" w:rsidRPr="00AD3A74" w:rsidRDefault="00AD3A74" w:rsidP="00AD3A74">
      <w:pPr>
        <w:spacing w:line="360" w:lineRule="auto"/>
        <w:ind w:firstLine="708"/>
        <w:jc w:val="both"/>
        <w:rPr>
          <w:rFonts w:ascii="Times New Roman" w:eastAsia="Times New Roman" w:hAnsi="Times New Roman" w:cs="Times New Roman"/>
          <w:color w:val="000000"/>
          <w:sz w:val="24"/>
          <w:szCs w:val="24"/>
        </w:rPr>
      </w:pPr>
      <w:r w:rsidRPr="00AD3A74">
        <w:rPr>
          <w:rFonts w:ascii="Times New Roman" w:eastAsia="Times New Roman" w:hAnsi="Times New Roman" w:cs="Times New Roman"/>
          <w:color w:val="000000"/>
          <w:sz w:val="24"/>
          <w:szCs w:val="24"/>
        </w:rPr>
        <w:t xml:space="preserve">Embora necessária e </w:t>
      </w:r>
      <w:r w:rsidRPr="00AD3A74">
        <w:rPr>
          <w:rFonts w:ascii="Times New Roman" w:eastAsia="Times New Roman" w:hAnsi="Times New Roman" w:cs="Times New Roman"/>
          <w:sz w:val="24"/>
          <w:szCs w:val="24"/>
        </w:rPr>
        <w:t>imprescindível, a ampliação</w:t>
      </w:r>
      <w:r w:rsidRPr="00AD3A74">
        <w:rPr>
          <w:rFonts w:ascii="Times New Roman" w:eastAsia="Times New Roman" w:hAnsi="Times New Roman" w:cs="Times New Roman"/>
          <w:color w:val="000000"/>
          <w:sz w:val="24"/>
          <w:szCs w:val="24"/>
        </w:rPr>
        <w:t xml:space="preserve"> da atividade governamental está longe de ser consensual e, é fonte de muitas controvérsias nos estudos sobre economia do setor público. As discordâncias se dão no âmbito político, no plano macroeconômico, mas também quanto ao formato </w:t>
      </w:r>
      <w:r w:rsidRPr="00AD3A74">
        <w:rPr>
          <w:rFonts w:ascii="Times New Roman" w:eastAsia="Times New Roman" w:hAnsi="Times New Roman" w:cs="Times New Roman"/>
          <w:color w:val="000000"/>
          <w:sz w:val="24"/>
          <w:szCs w:val="24"/>
        </w:rPr>
        <w:lastRenderedPageBreak/>
        <w:t>do pacto federativo sobre as competências tributárias e a provisão de bens públicos por cada ente federado.</w:t>
      </w:r>
    </w:p>
    <w:p w14:paraId="1E9780DE" w14:textId="77777777" w:rsidR="00AD3A74" w:rsidRPr="00AD3A74" w:rsidRDefault="00AD3A74" w:rsidP="00AD3A74">
      <w:pPr>
        <w:spacing w:line="360" w:lineRule="auto"/>
        <w:ind w:firstLine="708"/>
        <w:jc w:val="both"/>
        <w:rPr>
          <w:rFonts w:ascii="Times New Roman" w:eastAsia="Times New Roman" w:hAnsi="Times New Roman" w:cs="Times New Roman"/>
          <w:color w:val="000000"/>
          <w:sz w:val="24"/>
          <w:szCs w:val="24"/>
        </w:rPr>
      </w:pPr>
      <w:r w:rsidRPr="00AD3A74">
        <w:rPr>
          <w:rFonts w:ascii="Times New Roman" w:eastAsia="Times New Roman" w:hAnsi="Times New Roman" w:cs="Times New Roman"/>
          <w:color w:val="000000"/>
          <w:sz w:val="24"/>
          <w:szCs w:val="24"/>
        </w:rPr>
        <w:t xml:space="preserve"> No conjunto de controvérsias está o comportamento tributário de prefeitos diante do ônus político decorrente da cobrança de impostos, especialmente os impostos diretos, como o IPTU (Imposto Predial e Territorial Urbano) – objeto central </w:t>
      </w:r>
      <w:r w:rsidRPr="00AD3A74">
        <w:rPr>
          <w:rFonts w:ascii="Times New Roman" w:eastAsia="Times New Roman" w:hAnsi="Times New Roman" w:cs="Times New Roman"/>
          <w:sz w:val="24"/>
          <w:szCs w:val="24"/>
        </w:rPr>
        <w:t>desta</w:t>
      </w:r>
      <w:r w:rsidRPr="00AD3A74">
        <w:rPr>
          <w:rFonts w:ascii="Times New Roman" w:eastAsia="Times New Roman" w:hAnsi="Times New Roman" w:cs="Times New Roman"/>
          <w:color w:val="000000"/>
          <w:sz w:val="24"/>
          <w:szCs w:val="24"/>
        </w:rPr>
        <w:t xml:space="preserve"> pesquisa. Se o esforço de arrecadação dos municípios tende a ser baixo, especialmente em municípios menores que têm boa proporção (mais de 90%) </w:t>
      </w:r>
      <w:r w:rsidRPr="00AD3A74">
        <w:rPr>
          <w:rFonts w:ascii="Times New Roman" w:eastAsia="Times New Roman" w:hAnsi="Times New Roman" w:cs="Times New Roman"/>
          <w:sz w:val="24"/>
          <w:szCs w:val="24"/>
        </w:rPr>
        <w:t>garantidos</w:t>
      </w:r>
      <w:r w:rsidRPr="00AD3A74">
        <w:rPr>
          <w:rFonts w:ascii="Times New Roman" w:eastAsia="Times New Roman" w:hAnsi="Times New Roman" w:cs="Times New Roman"/>
          <w:color w:val="000000"/>
          <w:sz w:val="24"/>
          <w:szCs w:val="24"/>
        </w:rPr>
        <w:t xml:space="preserve"> pelas transferências fiscais, o desempenho fiscal pode ficar ainda mais comprometido em anos de eleição. Os prefeitos buscando vantagens eleitorais reduzem o esforço fiscal para evitar a insatisfação dos eleitores.</w:t>
      </w:r>
    </w:p>
    <w:p w14:paraId="35377547" w14:textId="77777777" w:rsidR="00AD3A74" w:rsidRPr="00AD3A74" w:rsidRDefault="00AD3A74" w:rsidP="00AD3A74">
      <w:pPr>
        <w:spacing w:line="360" w:lineRule="auto"/>
        <w:ind w:firstLine="708"/>
        <w:jc w:val="both"/>
        <w:rPr>
          <w:rFonts w:ascii="Times New Roman" w:eastAsia="Times New Roman" w:hAnsi="Times New Roman" w:cs="Times New Roman"/>
          <w:color w:val="000000"/>
          <w:sz w:val="24"/>
          <w:szCs w:val="24"/>
        </w:rPr>
      </w:pPr>
      <w:r w:rsidRPr="00AD3A74">
        <w:rPr>
          <w:rFonts w:ascii="Times New Roman" w:eastAsia="Times New Roman" w:hAnsi="Times New Roman" w:cs="Times New Roman"/>
          <w:sz w:val="24"/>
          <w:szCs w:val="24"/>
        </w:rPr>
        <w:t>Com intuito de contribuir para o aprofundamento teórico e prático desse debate e, subsidiariamente, auxiliar na formulação de políticas públicas este estudo se baseia em uma análise sobre o desempenho na arrecadação do IPTU e se em períodos eleitorais os gestores do poder executivo do município se esquivam do ônus político em Vitória da Conquista.</w:t>
      </w:r>
    </w:p>
    <w:p w14:paraId="2B9AFA36" w14:textId="77777777" w:rsidR="00AD3A74" w:rsidRPr="00AD3A74" w:rsidRDefault="00AD3A74" w:rsidP="00AD3A74">
      <w:pPr>
        <w:spacing w:line="360" w:lineRule="auto"/>
        <w:ind w:firstLine="708"/>
        <w:jc w:val="both"/>
        <w:rPr>
          <w:rFonts w:ascii="Times New Roman" w:eastAsia="Times New Roman" w:hAnsi="Times New Roman" w:cs="Times New Roman"/>
          <w:sz w:val="24"/>
          <w:szCs w:val="24"/>
        </w:rPr>
      </w:pPr>
      <w:r w:rsidRPr="00AD3A74">
        <w:rPr>
          <w:rFonts w:ascii="Times New Roman" w:eastAsia="Times New Roman" w:hAnsi="Times New Roman" w:cs="Times New Roman"/>
          <w:color w:val="000000"/>
          <w:sz w:val="24"/>
          <w:szCs w:val="24"/>
        </w:rPr>
        <w:t xml:space="preserve">Tomando por base o município de Vitória da Conquista, e abrangendo um ciclo de 3 (três) mandatos de prefeitos(as) diferentes, de diferentes orientações políticas, este estudo tem por objetivo </w:t>
      </w:r>
      <w:r w:rsidRPr="00AD3A74">
        <w:rPr>
          <w:rFonts w:ascii="Times New Roman" w:eastAsia="Times New Roman" w:hAnsi="Times New Roman" w:cs="Times New Roman"/>
          <w:sz w:val="24"/>
          <w:szCs w:val="24"/>
        </w:rPr>
        <w:t xml:space="preserve">analisar o esforço fiscal de diferentes prefeitos de Vitória da Conquista na arrecadação dos impostos de sua competência buscando identificar possíveis comportamentos oportunistas em anos eleitorais. </w:t>
      </w:r>
    </w:p>
    <w:p w14:paraId="737DC627" w14:textId="77777777" w:rsidR="00AD3A74" w:rsidRPr="00AD3A74" w:rsidRDefault="00AD3A74" w:rsidP="00AD3A74">
      <w:pPr>
        <w:spacing w:line="360" w:lineRule="auto"/>
        <w:ind w:firstLine="708"/>
        <w:jc w:val="both"/>
        <w:rPr>
          <w:rFonts w:ascii="Times New Roman" w:eastAsia="Times New Roman" w:hAnsi="Times New Roman" w:cs="Times New Roman"/>
          <w:sz w:val="24"/>
          <w:szCs w:val="24"/>
        </w:rPr>
      </w:pPr>
      <w:r w:rsidRPr="00AD3A74">
        <w:rPr>
          <w:rFonts w:ascii="Times New Roman" w:eastAsia="Times New Roman" w:hAnsi="Times New Roman" w:cs="Times New Roman"/>
          <w:sz w:val="24"/>
          <w:szCs w:val="24"/>
        </w:rPr>
        <w:t xml:space="preserve">A análise abrange os mandatos dos prefeitos: Guilherme Menezes (PT), </w:t>
      </w:r>
      <w:proofErr w:type="spellStart"/>
      <w:r w:rsidRPr="00AD3A74">
        <w:rPr>
          <w:rFonts w:ascii="Times New Roman" w:eastAsia="Times New Roman" w:hAnsi="Times New Roman" w:cs="Times New Roman"/>
          <w:sz w:val="24"/>
          <w:szCs w:val="24"/>
        </w:rPr>
        <w:t>Herzem</w:t>
      </w:r>
      <w:proofErr w:type="spellEnd"/>
      <w:r w:rsidRPr="00AD3A74">
        <w:rPr>
          <w:rFonts w:ascii="Times New Roman" w:eastAsia="Times New Roman" w:hAnsi="Times New Roman" w:cs="Times New Roman"/>
          <w:sz w:val="24"/>
          <w:szCs w:val="24"/>
        </w:rPr>
        <w:t xml:space="preserve"> Gusmão (PMDB) e Sheila Lemos (União Brasil). Subsidiariamente, o trabalho busca avaliar e comparar a evolução da arrecadação de impostos com transferências do fundo de participação do Município (FPM) e do imposto sobre a circulação de mercadorias e serviços (ICMS) para inferir sobre a dependência e necessidade de maior esforço tributário. As perguntas que norteiam a pesquisa são: (i) A arrecadação </w:t>
      </w:r>
      <w:r w:rsidRPr="00AD3A74">
        <w:rPr>
          <w:rFonts w:ascii="Times New Roman" w:eastAsia="Times New Roman" w:hAnsi="Times New Roman" w:cs="Times New Roman"/>
          <w:i/>
          <w:sz w:val="24"/>
          <w:szCs w:val="24"/>
        </w:rPr>
        <w:t>per capita</w:t>
      </w:r>
      <w:r w:rsidRPr="00AD3A74">
        <w:rPr>
          <w:rFonts w:ascii="Times New Roman" w:eastAsia="Times New Roman" w:hAnsi="Times New Roman" w:cs="Times New Roman"/>
          <w:sz w:val="24"/>
          <w:szCs w:val="24"/>
        </w:rPr>
        <w:t xml:space="preserve"> dos impostos de competência do Município de Vitória da Conquista apresenta grandes desníveis para governos de diferentes matrizes ideológicas? (</w:t>
      </w:r>
      <w:proofErr w:type="spellStart"/>
      <w:r w:rsidRPr="00AD3A74">
        <w:rPr>
          <w:rFonts w:ascii="Times New Roman" w:eastAsia="Times New Roman" w:hAnsi="Times New Roman" w:cs="Times New Roman"/>
          <w:sz w:val="24"/>
          <w:szCs w:val="24"/>
        </w:rPr>
        <w:t>ii</w:t>
      </w:r>
      <w:proofErr w:type="spellEnd"/>
      <w:r w:rsidRPr="00AD3A74">
        <w:rPr>
          <w:rFonts w:ascii="Times New Roman" w:eastAsia="Times New Roman" w:hAnsi="Times New Roman" w:cs="Times New Roman"/>
          <w:sz w:val="24"/>
          <w:szCs w:val="24"/>
        </w:rPr>
        <w:t xml:space="preserve">) Os governos Municipais de Vitória da Conquista entre 2013 e 2024 considerando o período de crescimento </w:t>
      </w:r>
      <w:proofErr w:type="gramStart"/>
      <w:r w:rsidRPr="00AD3A74">
        <w:rPr>
          <w:rFonts w:ascii="Times New Roman" w:eastAsia="Times New Roman" w:hAnsi="Times New Roman" w:cs="Times New Roman"/>
          <w:sz w:val="24"/>
          <w:szCs w:val="24"/>
        </w:rPr>
        <w:t>e também</w:t>
      </w:r>
      <w:proofErr w:type="gramEnd"/>
      <w:r w:rsidRPr="00AD3A74">
        <w:rPr>
          <w:rFonts w:ascii="Times New Roman" w:eastAsia="Times New Roman" w:hAnsi="Times New Roman" w:cs="Times New Roman"/>
          <w:sz w:val="24"/>
          <w:szCs w:val="24"/>
        </w:rPr>
        <w:t xml:space="preserve"> recessão econômica apresentou redução na dependência das transferências externas?</w:t>
      </w:r>
    </w:p>
    <w:p w14:paraId="3B27AC85" w14:textId="77777777" w:rsidR="00AD3A74" w:rsidRPr="00AD3A74" w:rsidRDefault="00AD3A74" w:rsidP="00AD3A74">
      <w:pPr>
        <w:spacing w:line="360" w:lineRule="auto"/>
        <w:ind w:firstLine="708"/>
        <w:jc w:val="both"/>
        <w:rPr>
          <w:rFonts w:ascii="Times New Roman" w:eastAsia="Times New Roman" w:hAnsi="Times New Roman" w:cs="Times New Roman"/>
          <w:sz w:val="24"/>
          <w:szCs w:val="24"/>
        </w:rPr>
      </w:pPr>
      <w:r w:rsidRPr="00AD3A74">
        <w:rPr>
          <w:rFonts w:ascii="Times New Roman" w:eastAsia="Times New Roman" w:hAnsi="Times New Roman" w:cs="Times New Roman"/>
          <w:sz w:val="24"/>
          <w:szCs w:val="24"/>
        </w:rPr>
        <w:t xml:space="preserve">A hipótese básica é de que apesar das diferenças ideológicas e diferentes conjunturas (crescimento econômico e recessão) os prefeitos não apresentam diferenças no desempenho da arrecadação, se assemelhando no comportamento tributário. </w:t>
      </w:r>
      <w:r w:rsidRPr="00AD3A74">
        <w:rPr>
          <w:rFonts w:ascii="Times New Roman" w:eastAsia="Times New Roman" w:hAnsi="Times New Roman" w:cs="Times New Roman"/>
          <w:color w:val="000000"/>
          <w:sz w:val="24"/>
          <w:szCs w:val="24"/>
        </w:rPr>
        <w:t xml:space="preserve">A motivação central da pesquisa decorre do fato de 2025, logo após as eleições municipais de 2024, a prefeitura de Vitória da Conquista elevar substancialmente os valores cobrados no IPTU. </w:t>
      </w:r>
      <w:proofErr w:type="gramStart"/>
      <w:r w:rsidRPr="00AD3A74">
        <w:rPr>
          <w:rFonts w:ascii="Times New Roman" w:eastAsia="Times New Roman" w:hAnsi="Times New Roman" w:cs="Times New Roman"/>
          <w:color w:val="000000"/>
          <w:sz w:val="24"/>
          <w:szCs w:val="24"/>
        </w:rPr>
        <w:t>Porque</w:t>
      </w:r>
      <w:proofErr w:type="gramEnd"/>
      <w:r w:rsidRPr="00AD3A74">
        <w:rPr>
          <w:rFonts w:ascii="Times New Roman" w:eastAsia="Times New Roman" w:hAnsi="Times New Roman" w:cs="Times New Roman"/>
          <w:color w:val="000000"/>
          <w:sz w:val="24"/>
          <w:szCs w:val="24"/>
        </w:rPr>
        <w:t xml:space="preserve"> logo depois da eleição e não antes? Soma-se a isto a informação de uma nova atualização da planta genérica de valores dos imóveis em 2025. Ou seja, o custo político pode ter afetado a decisão de aumentar o esforço fiscal em ano não eleitoral. </w:t>
      </w:r>
      <w:r w:rsidRPr="00AD3A74">
        <w:rPr>
          <w:rFonts w:ascii="Times New Roman" w:eastAsia="Times New Roman" w:hAnsi="Times New Roman" w:cs="Times New Roman"/>
          <w:sz w:val="24"/>
          <w:szCs w:val="24"/>
        </w:rPr>
        <w:t xml:space="preserve">Esse ponto revela a originalidade e relevância da pesquisa que agrega novos elementos para obtenção </w:t>
      </w:r>
      <w:r w:rsidRPr="00AD3A74">
        <w:rPr>
          <w:rFonts w:ascii="Times New Roman" w:eastAsia="Times New Roman" w:hAnsi="Times New Roman" w:cs="Times New Roman"/>
          <w:sz w:val="24"/>
          <w:szCs w:val="24"/>
        </w:rPr>
        <w:lastRenderedPageBreak/>
        <w:t xml:space="preserve">de evidências sobre a influência dos ciclos políticos no esforço de arrecadação dos governos municipais. </w:t>
      </w:r>
    </w:p>
    <w:p w14:paraId="7C1248F3" w14:textId="77777777" w:rsidR="00AD3A74" w:rsidRPr="00AD3A74" w:rsidRDefault="00AD3A74" w:rsidP="00AD3A74">
      <w:pPr>
        <w:spacing w:line="360" w:lineRule="auto"/>
        <w:ind w:firstLine="708"/>
        <w:jc w:val="both"/>
        <w:rPr>
          <w:rFonts w:ascii="Times New Roman" w:eastAsia="Times New Roman" w:hAnsi="Times New Roman" w:cs="Times New Roman"/>
          <w:sz w:val="24"/>
          <w:szCs w:val="24"/>
        </w:rPr>
      </w:pPr>
      <w:r w:rsidRPr="00AD3A74">
        <w:rPr>
          <w:rFonts w:ascii="Times New Roman" w:eastAsia="Times New Roman" w:hAnsi="Times New Roman" w:cs="Times New Roman"/>
          <w:sz w:val="24"/>
          <w:szCs w:val="24"/>
        </w:rPr>
        <w:t xml:space="preserve">A pesquisa utilizará como base para as análises, estatísticas descritivas de dados da arrecadação </w:t>
      </w:r>
      <w:r w:rsidRPr="00AD3A74">
        <w:rPr>
          <w:rFonts w:ascii="Times New Roman" w:eastAsia="Times New Roman" w:hAnsi="Times New Roman" w:cs="Times New Roman"/>
          <w:i/>
          <w:sz w:val="24"/>
          <w:szCs w:val="24"/>
        </w:rPr>
        <w:t>per capita</w:t>
      </w:r>
      <w:r w:rsidRPr="00AD3A74">
        <w:rPr>
          <w:rFonts w:ascii="Times New Roman" w:eastAsia="Times New Roman" w:hAnsi="Times New Roman" w:cs="Times New Roman"/>
          <w:sz w:val="24"/>
          <w:szCs w:val="24"/>
        </w:rPr>
        <w:t xml:space="preserve"> do IPTU entre os anos de 2013 (primeiro ano do segundo mandato de Guilherme Menezes) e 2024 (último ano do primeiro mandato de Sheila Lemos). A intenção é observar se nos anos de eleições municipais a arrecadação apresentou desníveis muito elevados em relação aos anos não eleitorais, de modo a identificar algum comportamento oportunista. Os dados utilizados na pesquisa são da Secretaria do Tesouro Nacional (STN), obtidas no Sistema de Informações Contábeis e Fiscais do Setor Público Brasileiro (</w:t>
      </w:r>
      <w:proofErr w:type="spellStart"/>
      <w:r w:rsidRPr="00AD3A74">
        <w:rPr>
          <w:rFonts w:ascii="Times New Roman" w:eastAsia="Times New Roman" w:hAnsi="Times New Roman" w:cs="Times New Roman"/>
          <w:sz w:val="24"/>
          <w:szCs w:val="24"/>
        </w:rPr>
        <w:t>Siconfi</w:t>
      </w:r>
      <w:proofErr w:type="spellEnd"/>
      <w:r w:rsidRPr="00AD3A74">
        <w:rPr>
          <w:rFonts w:ascii="Times New Roman" w:eastAsia="Times New Roman" w:hAnsi="Times New Roman" w:cs="Times New Roman"/>
          <w:sz w:val="24"/>
          <w:szCs w:val="24"/>
        </w:rPr>
        <w:t>) e Finanças do Brasil (FINBRA) – Área Pública, contas anuais.</w:t>
      </w:r>
    </w:p>
    <w:p w14:paraId="64857BED" w14:textId="77777777" w:rsidR="00AD3A74" w:rsidRPr="00AD3A74" w:rsidRDefault="00AD3A74" w:rsidP="00AD3A74">
      <w:pPr>
        <w:pStyle w:val="PargrafodaLista"/>
        <w:spacing w:after="0" w:line="360" w:lineRule="auto"/>
        <w:ind w:left="0" w:firstLine="709"/>
        <w:contextualSpacing w:val="0"/>
        <w:jc w:val="both"/>
        <w:rPr>
          <w:rFonts w:ascii="Times New Roman" w:hAnsi="Times New Roman" w:cs="Times New Roman"/>
          <w:sz w:val="24"/>
          <w:szCs w:val="24"/>
        </w:rPr>
      </w:pPr>
      <w:r w:rsidRPr="00AD3A74">
        <w:rPr>
          <w:rFonts w:ascii="Times New Roman" w:hAnsi="Times New Roman" w:cs="Times New Roman"/>
          <w:color w:val="000000"/>
          <w:sz w:val="24"/>
          <w:szCs w:val="24"/>
        </w:rPr>
        <w:t xml:space="preserve">Além da introdução, o artigo conta com quatro seções. Inicia abordando a literatura teórica relacionada ao federalismo fiscal brasileiro, discutindo as competências tributárias dos municípios e fazendo uma breve discussão sobre o modelo de descentralização fiscal. A sequência traz uma resenha sobre </w:t>
      </w:r>
      <w:r w:rsidRPr="00AD3A74">
        <w:rPr>
          <w:rFonts w:ascii="Times New Roman" w:hAnsi="Times New Roman" w:cs="Times New Roman"/>
          <w:sz w:val="24"/>
          <w:szCs w:val="24"/>
        </w:rPr>
        <w:t>a teoria dos ciclos</w:t>
      </w:r>
      <w:r w:rsidRPr="00AD3A74">
        <w:rPr>
          <w:rFonts w:ascii="Times New Roman" w:hAnsi="Times New Roman" w:cs="Times New Roman"/>
          <w:spacing w:val="1"/>
          <w:sz w:val="24"/>
          <w:szCs w:val="24"/>
        </w:rPr>
        <w:t xml:space="preserve"> </w:t>
      </w:r>
      <w:r w:rsidRPr="00AD3A74">
        <w:rPr>
          <w:rFonts w:ascii="Times New Roman" w:hAnsi="Times New Roman" w:cs="Times New Roman"/>
          <w:sz w:val="24"/>
          <w:szCs w:val="24"/>
        </w:rPr>
        <w:t xml:space="preserve">político-econômicos, como o intuito de mostrar como as transferências fiscais permitem aos prefeitos </w:t>
      </w:r>
      <w:proofErr w:type="gramStart"/>
      <w:r w:rsidRPr="00AD3A74">
        <w:rPr>
          <w:rFonts w:ascii="Times New Roman" w:hAnsi="Times New Roman" w:cs="Times New Roman"/>
          <w:sz w:val="24"/>
          <w:szCs w:val="24"/>
        </w:rPr>
        <w:t>reduzir</w:t>
      </w:r>
      <w:proofErr w:type="gramEnd"/>
      <w:r w:rsidRPr="00AD3A74">
        <w:rPr>
          <w:rFonts w:ascii="Times New Roman" w:hAnsi="Times New Roman" w:cs="Times New Roman"/>
          <w:sz w:val="24"/>
          <w:szCs w:val="24"/>
        </w:rPr>
        <w:t xml:space="preserve"> o custo político da arrecadação e, assim, obterem vantagens eleitorais. A terceira seção é dedicada à caracterização do município de Vitória da Conquista (objeto do estudo), seus aspectos econômicos e fiscais. A quarta seção apresenta a abordagem metodológica, a base de dados, as principais estatísticas e a discussão dos resultados. Por fim, são apresentadas as conclusões. </w:t>
      </w:r>
    </w:p>
    <w:p w14:paraId="67D99D19" w14:textId="77777777" w:rsidR="00AD3A74" w:rsidRPr="00AD3A74" w:rsidRDefault="00AD3A74" w:rsidP="00C4692F">
      <w:pPr>
        <w:pStyle w:val="PargrafodaLista"/>
        <w:numPr>
          <w:ilvl w:val="0"/>
          <w:numId w:val="2"/>
        </w:numPr>
        <w:spacing w:before="240" w:after="240"/>
        <w:ind w:left="425" w:hanging="425"/>
        <w:contextualSpacing w:val="0"/>
        <w:jc w:val="both"/>
        <w:rPr>
          <w:rFonts w:ascii="Times New Roman" w:eastAsia="Times New Roman" w:hAnsi="Times New Roman" w:cs="Times New Roman"/>
          <w:color w:val="000000"/>
        </w:rPr>
      </w:pPr>
      <w:r w:rsidRPr="00AD3A74">
        <w:rPr>
          <w:rFonts w:ascii="Times New Roman" w:eastAsia="Times New Roman" w:hAnsi="Times New Roman" w:cs="Times New Roman"/>
          <w:color w:val="000000"/>
        </w:rPr>
        <w:t>DESCENTRALIZAÇÃO FISCAL E COMPETÊNCIAS TRIBUTÁRIAS DOS MUNICÍPIOS.</w:t>
      </w:r>
    </w:p>
    <w:p w14:paraId="3FB18832" w14:textId="77777777" w:rsidR="00AD3A74" w:rsidRPr="00AD3A74" w:rsidRDefault="00AD3A74" w:rsidP="00AD3A74">
      <w:pPr>
        <w:spacing w:line="360" w:lineRule="auto"/>
        <w:ind w:firstLine="709"/>
        <w:jc w:val="both"/>
        <w:rPr>
          <w:rFonts w:ascii="Times New Roman" w:eastAsia="Times New Roman" w:hAnsi="Times New Roman" w:cs="Times New Roman"/>
          <w:color w:val="000000"/>
          <w:sz w:val="24"/>
          <w:szCs w:val="24"/>
        </w:rPr>
      </w:pPr>
      <w:r w:rsidRPr="00AD3A74">
        <w:rPr>
          <w:rFonts w:ascii="Times New Roman" w:eastAsia="Times New Roman" w:hAnsi="Times New Roman" w:cs="Times New Roman"/>
          <w:color w:val="000000"/>
        </w:rPr>
        <w:t xml:space="preserve">A definição de competências tributárias em nações organizados na forma federativa, como o Brasil, tende a concentrar a arrecadação no governo central. A centralização de receitas tributárias gera eficiência alocativa, no entanto não garante equidade, haja vista que, de acordo com a Teoria do Federalismo Fiscal, o provimento de bens públicos deve considerar as preferências dos habitantes da região beneficiada. </w:t>
      </w:r>
      <w:proofErr w:type="spellStart"/>
      <w:r w:rsidRPr="00AD3A74">
        <w:rPr>
          <w:rFonts w:ascii="Times New Roman" w:eastAsia="Times New Roman" w:hAnsi="Times New Roman" w:cs="Times New Roman"/>
          <w:color w:val="000000"/>
        </w:rPr>
        <w:t>Tiebout</w:t>
      </w:r>
      <w:proofErr w:type="spellEnd"/>
      <w:r w:rsidRPr="00AD3A74">
        <w:rPr>
          <w:rFonts w:ascii="Times New Roman" w:eastAsia="Times New Roman" w:hAnsi="Times New Roman" w:cs="Times New Roman"/>
          <w:color w:val="000000"/>
        </w:rPr>
        <w:t xml:space="preserve"> (1956) e Mendes (2002) argumentam a eficiência dos governos locais na alocação de recursos: para </w:t>
      </w:r>
      <w:proofErr w:type="spellStart"/>
      <w:r w:rsidRPr="00AD3A74">
        <w:rPr>
          <w:rFonts w:ascii="Times New Roman" w:eastAsia="Times New Roman" w:hAnsi="Times New Roman" w:cs="Times New Roman"/>
          <w:color w:val="000000"/>
        </w:rPr>
        <w:t>Tiebout</w:t>
      </w:r>
      <w:proofErr w:type="spellEnd"/>
      <w:r w:rsidRPr="00AD3A74">
        <w:rPr>
          <w:rFonts w:ascii="Times New Roman" w:eastAsia="Times New Roman" w:hAnsi="Times New Roman" w:cs="Times New Roman"/>
          <w:color w:val="000000"/>
        </w:rPr>
        <w:t xml:space="preserve"> (1956) porque permitem a revelação de preferências, para Mendes (2002) porque a proximidade facilita a </w:t>
      </w:r>
      <w:r w:rsidRPr="00AD3A74">
        <w:rPr>
          <w:rFonts w:ascii="Times New Roman" w:eastAsia="Times New Roman" w:hAnsi="Times New Roman" w:cs="Times New Roman"/>
          <w:color w:val="000000"/>
          <w:sz w:val="24"/>
          <w:szCs w:val="24"/>
        </w:rPr>
        <w:t>obtenção de informação sobre as preferências de cada comunidade. Nesse contexto - racionalidade econômica da centralização da arrecadação pelo governo central e maior eficiência dos governos locais na execução da despesa - um elemento central nos modelos de federalismo é a descentralização fiscal baseada em transferências.</w:t>
      </w:r>
    </w:p>
    <w:p w14:paraId="18C2BC8F" w14:textId="77777777" w:rsidR="00AD3A74" w:rsidRPr="00AD3A74" w:rsidRDefault="00AD3A74" w:rsidP="00AD3A74">
      <w:pPr>
        <w:spacing w:line="360" w:lineRule="auto"/>
        <w:ind w:firstLine="709"/>
        <w:jc w:val="both"/>
        <w:rPr>
          <w:rFonts w:ascii="Times New Roman" w:hAnsi="Times New Roman" w:cs="Times New Roman"/>
          <w:sz w:val="24"/>
          <w:szCs w:val="24"/>
        </w:rPr>
      </w:pPr>
      <w:r w:rsidRPr="00AD3A74">
        <w:rPr>
          <w:rFonts w:ascii="Times New Roman" w:hAnsi="Times New Roman" w:cs="Times New Roman"/>
          <w:sz w:val="24"/>
          <w:szCs w:val="24"/>
        </w:rPr>
        <w:t xml:space="preserve">Nessa repartição de competências tributárias e de acordo com a teoria normativa da descentralização são poucos os tributos que se prestam a uma arrecadação descentralizada, sendo aquele sobre o patrimônio imóvel o mais adequado para cobrança municipal. Assim, a Constituição Federal de 1988 (CF de 1988) definiu como de competência privativa dos municípios, a arrecadação do Imposto Predial e Territorial Urbano (IPTU), do Imposto sobre Serviços (ISS) e do Imposto Sobre </w:t>
      </w:r>
      <w:r w:rsidRPr="00AD3A74">
        <w:rPr>
          <w:rFonts w:ascii="Times New Roman" w:hAnsi="Times New Roman" w:cs="Times New Roman"/>
          <w:sz w:val="24"/>
          <w:szCs w:val="24"/>
        </w:rPr>
        <w:lastRenderedPageBreak/>
        <w:t xml:space="preserve">Transmissão Intervivos de Bens e de Direitos Reais sobre Imóveis (ITBI). Como salienta </w:t>
      </w:r>
      <w:proofErr w:type="spellStart"/>
      <w:r w:rsidRPr="00AD3A74">
        <w:rPr>
          <w:rFonts w:ascii="Times New Roman" w:hAnsi="Times New Roman" w:cs="Times New Roman"/>
          <w:sz w:val="24"/>
          <w:szCs w:val="24"/>
        </w:rPr>
        <w:t>Orair</w:t>
      </w:r>
      <w:proofErr w:type="spellEnd"/>
      <w:r w:rsidRPr="00AD3A74">
        <w:rPr>
          <w:rFonts w:ascii="Times New Roman" w:hAnsi="Times New Roman" w:cs="Times New Roman"/>
          <w:sz w:val="24"/>
          <w:szCs w:val="24"/>
        </w:rPr>
        <w:t xml:space="preserve"> e Alencar (2010), o IPTU e o ISS são eminentemente urbanos e possuem bases de incidência concentradas nos grandes centros. De acordo com Fonseca e Neto (2022), o IPTU é uma fonte rentável de recursos apenas nas cidades médias e grandes, que tem economias de escala na sua arrecadação e para as quais compensam os custos das constantes atualizações das plantas genéricas de valores. Além disto, o IPTU, por ser um imposto direto e abrangente, tem um custo político alto e uma cobrança maior sobre a destinação dos recursos arrecadados.  </w:t>
      </w:r>
    </w:p>
    <w:p w14:paraId="01C87DFD" w14:textId="77777777" w:rsidR="00AD3A74" w:rsidRPr="00AD3A74" w:rsidRDefault="00AD3A74" w:rsidP="00AD3A74">
      <w:pPr>
        <w:spacing w:line="360" w:lineRule="auto"/>
        <w:ind w:firstLine="709"/>
        <w:jc w:val="both"/>
        <w:rPr>
          <w:rFonts w:ascii="Times New Roman" w:hAnsi="Times New Roman" w:cs="Times New Roman"/>
          <w:sz w:val="24"/>
          <w:szCs w:val="24"/>
        </w:rPr>
      </w:pPr>
      <w:r w:rsidRPr="00AD3A74">
        <w:rPr>
          <w:rFonts w:ascii="Times New Roman" w:hAnsi="Times New Roman" w:cs="Times New Roman"/>
          <w:sz w:val="24"/>
          <w:szCs w:val="24"/>
        </w:rPr>
        <w:t xml:space="preserve">Em que pese a Constituição Federal de 1988 (CF de 1988) institucionalizar no Brasil um modelo de federalismo fiscal buscando alocar mais poder político e autonomia fiscal aos governos municipais, esse modelo buscou compensar </w:t>
      </w:r>
      <w:r w:rsidRPr="00AD3A74">
        <w:rPr>
          <w:rFonts w:ascii="Times New Roman" w:eastAsia="Times New Roman" w:hAnsi="Times New Roman" w:cs="Times New Roman"/>
          <w:color w:val="000000"/>
          <w:sz w:val="24"/>
          <w:szCs w:val="24"/>
        </w:rPr>
        <w:t xml:space="preserve">o hiato fiscal para os municípios com elevadas transferências redistributivas (compensatórias) sem condicionalidades e sem contrapartidas. São as excessivas transferências nesse formato que destoa o modelo brasileiro do utilizado em outros países. Como essas subvenções fiscais aos municípios alcançam uma desproporcional participação nas receitas municipais elas acabam abrindo espaço para distorções como </w:t>
      </w:r>
      <w:r w:rsidRPr="00AD3A74">
        <w:rPr>
          <w:rFonts w:ascii="Times New Roman" w:hAnsi="Times New Roman" w:cs="Times New Roman"/>
          <w:sz w:val="24"/>
          <w:szCs w:val="24"/>
        </w:rPr>
        <w:t>como captura e a preguiça fiscal dos governos locais abrindo espaço par uso político permitindo aos prefeitos livrarem-se do ônus político da arrecadação</w:t>
      </w:r>
      <w:r w:rsidRPr="00AD3A74">
        <w:rPr>
          <w:rFonts w:ascii="Times New Roman" w:hAnsi="Times New Roman" w:cs="Times New Roman"/>
          <w:color w:val="FF0000"/>
          <w:sz w:val="24"/>
          <w:szCs w:val="24"/>
        </w:rPr>
        <w:t>,</w:t>
      </w:r>
      <w:r w:rsidRPr="00AD3A74">
        <w:rPr>
          <w:rFonts w:ascii="Times New Roman" w:hAnsi="Times New Roman" w:cs="Times New Roman"/>
          <w:sz w:val="24"/>
          <w:szCs w:val="24"/>
        </w:rPr>
        <w:t xml:space="preserve"> para obtenção de vantagens eleitorais e aumento da probabilidade de reeleição.</w:t>
      </w:r>
    </w:p>
    <w:p w14:paraId="039603B1" w14:textId="77777777" w:rsidR="00AD3A74" w:rsidRPr="00AD3A74" w:rsidRDefault="00AD3A74" w:rsidP="00AD3A74">
      <w:pPr>
        <w:spacing w:line="360" w:lineRule="auto"/>
        <w:ind w:firstLine="708"/>
        <w:jc w:val="both"/>
        <w:rPr>
          <w:rFonts w:ascii="Garamond" w:hAnsi="Garamond"/>
          <w:sz w:val="24"/>
          <w:szCs w:val="24"/>
        </w:rPr>
      </w:pPr>
      <w:r w:rsidRPr="00AD3A74">
        <w:rPr>
          <w:rFonts w:ascii="Garamond" w:hAnsi="Garamond"/>
          <w:sz w:val="24"/>
          <w:szCs w:val="24"/>
        </w:rPr>
        <w:t xml:space="preserve">A maioria das disfuncionalidades geradas pelas transferências ocorre (ou são potencializadas) em um contexto de políticos </w:t>
      </w:r>
      <w:r w:rsidRPr="00AD3A74">
        <w:rPr>
          <w:rFonts w:ascii="Garamond" w:hAnsi="Garamond"/>
          <w:i/>
          <w:iCs/>
          <w:sz w:val="24"/>
          <w:szCs w:val="24"/>
        </w:rPr>
        <w:t xml:space="preserve">self </w:t>
      </w:r>
      <w:proofErr w:type="spellStart"/>
      <w:r w:rsidRPr="00AD3A74">
        <w:rPr>
          <w:rFonts w:ascii="Garamond" w:hAnsi="Garamond"/>
          <w:i/>
          <w:iCs/>
          <w:sz w:val="24"/>
          <w:szCs w:val="24"/>
        </w:rPr>
        <w:t>seeking</w:t>
      </w:r>
      <w:proofErr w:type="spellEnd"/>
      <w:r w:rsidRPr="00AD3A74">
        <w:rPr>
          <w:rFonts w:ascii="Garamond" w:hAnsi="Garamond"/>
          <w:sz w:val="24"/>
          <w:szCs w:val="24"/>
        </w:rPr>
        <w:t xml:space="preserve">, muito comum em cidades pequenas, especialmente do nordeste brasileiro. A ineficiência fiscal de muitos destes municípios estaria associada à preguiça fiscal, já que os prefeitos dispõem de uma significativa fonte de receitas das transferências, sem nenhum esforço de arrecadação e sem o custo político decorrente da cobrança de impostos. </w:t>
      </w:r>
    </w:p>
    <w:p w14:paraId="2D185A4C" w14:textId="77777777" w:rsidR="00AD3A74" w:rsidRPr="00AD3A74" w:rsidRDefault="00AD3A74" w:rsidP="00AD3A74">
      <w:pPr>
        <w:spacing w:line="360" w:lineRule="auto"/>
        <w:ind w:firstLine="708"/>
        <w:jc w:val="both"/>
        <w:rPr>
          <w:rFonts w:ascii="Garamond" w:hAnsi="Garamond"/>
          <w:color w:val="000000"/>
          <w:sz w:val="24"/>
          <w:szCs w:val="24"/>
        </w:rPr>
      </w:pPr>
      <w:r w:rsidRPr="00AD3A74">
        <w:rPr>
          <w:rFonts w:ascii="Garamond" w:hAnsi="Garamond"/>
          <w:color w:val="000000"/>
          <w:sz w:val="24"/>
          <w:szCs w:val="24"/>
        </w:rPr>
        <w:t>Há uma vasta literatura teórica e empírica sobre o modelo de federalismo fiscal e desempenho municipal na arrecadação de impostos de sua competência. Muitos desses estudos tratam das disfuncionalidades do modelo</w:t>
      </w:r>
      <w:r w:rsidRPr="00AD3A74">
        <w:rPr>
          <w:rFonts w:ascii="Garamond" w:hAnsi="Garamond"/>
          <w:color w:val="FF0000"/>
          <w:sz w:val="24"/>
          <w:szCs w:val="24"/>
        </w:rPr>
        <w:t>,</w:t>
      </w:r>
      <w:r w:rsidRPr="00AD3A74">
        <w:rPr>
          <w:rFonts w:ascii="Garamond" w:hAnsi="Garamond"/>
          <w:color w:val="000000"/>
          <w:sz w:val="24"/>
          <w:szCs w:val="24"/>
        </w:rPr>
        <w:t xml:space="preserve"> apontando as transferências como variável relevante para o desestímulo fiscal dos municípios. A maioria dos municípios baianos </w:t>
      </w:r>
      <w:r w:rsidRPr="00AD3A74">
        <w:rPr>
          <w:rFonts w:ascii="Garamond" w:hAnsi="Garamond"/>
          <w:color w:val="FF0000"/>
          <w:sz w:val="24"/>
          <w:szCs w:val="24"/>
        </w:rPr>
        <w:t xml:space="preserve">é </w:t>
      </w:r>
      <w:r w:rsidRPr="00AD3A74">
        <w:rPr>
          <w:rFonts w:ascii="Garamond" w:hAnsi="Garamond"/>
          <w:color w:val="000000"/>
          <w:sz w:val="24"/>
          <w:szCs w:val="24"/>
        </w:rPr>
        <w:t xml:space="preserve">dominado por políticos </w:t>
      </w:r>
      <w:r w:rsidRPr="00AD3A74">
        <w:rPr>
          <w:rFonts w:ascii="Garamond" w:hAnsi="Garamond"/>
          <w:i/>
          <w:iCs/>
          <w:sz w:val="24"/>
          <w:szCs w:val="24"/>
        </w:rPr>
        <w:t xml:space="preserve">self </w:t>
      </w:r>
      <w:proofErr w:type="spellStart"/>
      <w:r w:rsidRPr="00AD3A74">
        <w:rPr>
          <w:rFonts w:ascii="Garamond" w:hAnsi="Garamond"/>
          <w:i/>
          <w:iCs/>
          <w:sz w:val="24"/>
          <w:szCs w:val="24"/>
        </w:rPr>
        <w:t>seeking</w:t>
      </w:r>
      <w:proofErr w:type="spellEnd"/>
      <w:r w:rsidRPr="00AD3A74">
        <w:rPr>
          <w:rFonts w:ascii="Garamond" w:hAnsi="Garamond"/>
          <w:sz w:val="24"/>
          <w:szCs w:val="24"/>
        </w:rPr>
        <w:t xml:space="preserve">, nos quais </w:t>
      </w:r>
      <w:r w:rsidRPr="00AD3A74">
        <w:rPr>
          <w:rFonts w:ascii="Garamond" w:hAnsi="Garamond"/>
          <w:color w:val="000000"/>
          <w:sz w:val="24"/>
          <w:szCs w:val="24"/>
        </w:rPr>
        <w:t>persistem práticas eleitoreiras com forte predomínio do individual sobre o coletivo</w:t>
      </w:r>
      <w:r w:rsidRPr="00AD3A74">
        <w:rPr>
          <w:rFonts w:ascii="Garamond" w:hAnsi="Garamond"/>
          <w:sz w:val="24"/>
          <w:szCs w:val="24"/>
        </w:rPr>
        <w:t xml:space="preserve">. O baixo dinamismo econômico e estruturas tributárias deficientes ampliam ainda o hiato fiscal, mas não explicam os elevados desníveis na arrecadação entre eles. </w:t>
      </w:r>
    </w:p>
    <w:p w14:paraId="1168888F" w14:textId="77777777" w:rsidR="00AD3A74" w:rsidRPr="00AD3A74" w:rsidRDefault="00AD3A74" w:rsidP="00C4692F">
      <w:pPr>
        <w:pStyle w:val="PargrafodaLista"/>
        <w:numPr>
          <w:ilvl w:val="1"/>
          <w:numId w:val="2"/>
        </w:numPr>
        <w:spacing w:before="240" w:after="240" w:line="360" w:lineRule="auto"/>
        <w:ind w:left="425" w:hanging="357"/>
        <w:jc w:val="both"/>
        <w:rPr>
          <w:rFonts w:ascii="Times New Roman" w:hAnsi="Times New Roman" w:cs="Times New Roman"/>
          <w:b/>
          <w:bCs/>
          <w:sz w:val="24"/>
          <w:szCs w:val="24"/>
        </w:rPr>
      </w:pPr>
      <w:r w:rsidRPr="00AD3A74">
        <w:rPr>
          <w:rFonts w:ascii="Times New Roman" w:hAnsi="Times New Roman" w:cs="Times New Roman"/>
          <w:b/>
          <w:bCs/>
          <w:sz w:val="24"/>
          <w:szCs w:val="24"/>
        </w:rPr>
        <w:t>Competências Tributárias dos Municípios: especificidades do IPTU</w:t>
      </w:r>
    </w:p>
    <w:p w14:paraId="59BC9B7C" w14:textId="77777777" w:rsidR="00AD3A74" w:rsidRPr="00AD3A74" w:rsidRDefault="00AD3A74" w:rsidP="00AD3A74">
      <w:pPr>
        <w:spacing w:line="360" w:lineRule="auto"/>
        <w:ind w:firstLine="720"/>
        <w:jc w:val="both"/>
        <w:rPr>
          <w:rFonts w:ascii="Times New Roman" w:hAnsi="Times New Roman" w:cs="Times New Roman"/>
          <w:sz w:val="24"/>
          <w:szCs w:val="24"/>
        </w:rPr>
      </w:pPr>
      <w:r w:rsidRPr="00AD3A74">
        <w:rPr>
          <w:rFonts w:ascii="Times New Roman" w:hAnsi="Times New Roman" w:cs="Times New Roman"/>
          <w:sz w:val="24"/>
          <w:szCs w:val="24"/>
        </w:rPr>
        <w:t xml:space="preserve">Para muitas cidades o imposto sobre a propriedade imobiliária urbana, especialmente de outros países, constitui-se como uma das principais fontes de receita local. Na maioria dos municípios brasileiros, entretanto, os valores arrecadados são insignificantes. Além disto, apresenta fortes discrepâncias em sua arrecadação per capita. Como salienta Lopes, Vieira e Stein (2025), na Bahia </w:t>
      </w:r>
      <w:r w:rsidRPr="00AD3A74">
        <w:rPr>
          <w:rFonts w:ascii="Times New Roman" w:hAnsi="Times New Roman" w:cs="Times New Roman"/>
          <w:sz w:val="24"/>
          <w:szCs w:val="24"/>
        </w:rPr>
        <w:lastRenderedPageBreak/>
        <w:t xml:space="preserve">tem municípios que apresentam menos de um real de arrecadação per capita desse imposto enquanto outros tem arrecadação superior a mil reais. Essas discrepâncias demonstram que </w:t>
      </w:r>
      <w:r w:rsidRPr="00AD3A74">
        <w:rPr>
          <w:rFonts w:ascii="Garamond" w:eastAsia="Times New Roman" w:hAnsi="Garamond"/>
          <w:sz w:val="24"/>
          <w:szCs w:val="24"/>
        </w:rPr>
        <w:t>apenas os diferenciais nos níveis de desenvolvimento econômico e diferenças nas estruturas de arrecadação</w:t>
      </w:r>
      <w:r w:rsidRPr="00AD3A74">
        <w:rPr>
          <w:rFonts w:ascii="Times New Roman" w:hAnsi="Times New Roman" w:cs="Times New Roman"/>
          <w:sz w:val="24"/>
          <w:szCs w:val="24"/>
        </w:rPr>
        <w:t xml:space="preserve"> não justificam esses desníveis, havendo indícios de preguiça fiscal decorrente do custo político da cobrança desse imposto (LOPES; VIEIRA, 2024). Na Bahia, quase a metade da arrecadação de IPTU é feita pelo município de Salvador (LOPES; VIEIRA, 2024). </w:t>
      </w:r>
    </w:p>
    <w:p w14:paraId="33A5C7C7" w14:textId="77777777" w:rsidR="00AD3A74" w:rsidRPr="00AD3A74" w:rsidRDefault="00AD3A74" w:rsidP="00AD3A74">
      <w:pPr>
        <w:spacing w:line="360" w:lineRule="auto"/>
        <w:ind w:firstLine="720"/>
        <w:jc w:val="both"/>
        <w:rPr>
          <w:rFonts w:ascii="Times New Roman" w:hAnsi="Times New Roman" w:cs="Times New Roman"/>
          <w:sz w:val="24"/>
          <w:szCs w:val="24"/>
        </w:rPr>
      </w:pPr>
      <w:r w:rsidRPr="00AD3A74">
        <w:rPr>
          <w:rFonts w:ascii="Times New Roman" w:hAnsi="Times New Roman" w:cs="Times New Roman"/>
          <w:sz w:val="24"/>
          <w:szCs w:val="24"/>
        </w:rPr>
        <w:t xml:space="preserve">O IPTU é considerado por alguns especialistas como o imposto ideal para o financiamento municipal - não mobilidade da base tributária, sem custos de congestionamento, sem competição por base tributária e grande potencial de progressividade (inclusive há previsão constitucional para isto). Além disso, pela característica do objeto de tributação - propriedade imóvel - ele pode ser tributado sem onerar em grandes proporções a população, se considerar a correta atualização do cadastro de valor das propriedades. O Código Tributário Nacional (CTN), define a propriedade, o domínio útil ou a posse de bem imóvel por natureza ou acessão física, como fato gerador e o proprietário como contribuinte. O CTN disciplina ainda a base de cálculo e alíquota do IPTU, mostra que a base do cálculo é o valor venal do imóvel, excluindo os bens imóveis por acessão física. A alíquota fica a critério do município, geralmente 1%. </w:t>
      </w:r>
    </w:p>
    <w:p w14:paraId="79EDEE10" w14:textId="77777777" w:rsidR="00AD3A74" w:rsidRPr="00AD3A74" w:rsidRDefault="00AD3A74" w:rsidP="00AD3A74">
      <w:pPr>
        <w:spacing w:line="360" w:lineRule="auto"/>
        <w:ind w:firstLine="720"/>
        <w:jc w:val="both"/>
        <w:rPr>
          <w:rFonts w:ascii="Times New Roman" w:eastAsia="Times New Roman" w:hAnsi="Times New Roman" w:cs="Times New Roman"/>
          <w:color w:val="000000"/>
        </w:rPr>
      </w:pPr>
      <w:r w:rsidRPr="00AD3A74">
        <w:rPr>
          <w:rFonts w:ascii="Times New Roman" w:eastAsia="Times New Roman" w:hAnsi="Times New Roman" w:cs="Times New Roman"/>
          <w:color w:val="000000"/>
        </w:rPr>
        <w:t>O IPTU possui uma base tributária visível e concentrada no estrato mais rico da população, os proprietários de imóveis. O seu pagamento é condição efetiva para os direitos plenos da propriedade imobiliária e, além disso, os municípios podem aplicar variadas alíquotas que o podem tornar, teoricamente, extremamente progressivas, utilizando a possibilidade constitucional no art. 32 do CTN à aplicação de alíquotas progressivas de IPTU. Cabe salientar que o instrumento de IPTU progressivo no tempo está sendo, aos poucos, aplicados, sobretudo em municípios de maior porte. A teoria normativa aponta os municípios como o ente mais adequado para a cobrança de tributos de base imóvel, já que a área para arrecadação desse imposto é localmente bem delimitada (zonas urbanas), reduzindo a possibilidade de competição por base tributária. Esse tipo de imposto tem flexibilidade para absorção de choques, já que o valor venal dos imóveis apresenta baixa sensibilidade aos ciclos econômicos.</w:t>
      </w:r>
    </w:p>
    <w:p w14:paraId="37D2D4AC" w14:textId="77777777" w:rsidR="00AD3A74" w:rsidRPr="00AD3A74" w:rsidRDefault="00AD3A74" w:rsidP="00AD3A74">
      <w:pPr>
        <w:spacing w:line="360" w:lineRule="auto"/>
        <w:ind w:firstLine="720"/>
        <w:jc w:val="both"/>
        <w:rPr>
          <w:rFonts w:ascii="Times New Roman" w:hAnsi="Times New Roman" w:cs="Times New Roman"/>
          <w:sz w:val="24"/>
          <w:szCs w:val="24"/>
        </w:rPr>
      </w:pPr>
      <w:r w:rsidRPr="00AD3A74">
        <w:rPr>
          <w:rFonts w:ascii="Times New Roman" w:hAnsi="Times New Roman" w:cs="Times New Roman"/>
          <w:sz w:val="24"/>
          <w:szCs w:val="24"/>
        </w:rPr>
        <w:t>Embora seja bem caracterizado, o IPTU apresenta um baixo esforço fiscal que se materializa, basicamente, pela não atualização da tabela genérica de valores. A preguiça fiscal em relação ao IPTU está associada ao alto custo político de tributar (especialmente por ser um imposto direto) e de deficiências nas estruturas de arrecadação. Esse problema é maior ainda em municípios pequenos e pobres.</w:t>
      </w:r>
    </w:p>
    <w:p w14:paraId="5ADC9699" w14:textId="77777777" w:rsidR="00AD3A74" w:rsidRPr="00AD3A74" w:rsidRDefault="00AD3A74" w:rsidP="00C4692F">
      <w:pPr>
        <w:pStyle w:val="PargrafodaLista"/>
        <w:numPr>
          <w:ilvl w:val="0"/>
          <w:numId w:val="2"/>
        </w:numPr>
        <w:spacing w:before="240" w:after="240" w:line="360" w:lineRule="auto"/>
        <w:ind w:left="284" w:hanging="284"/>
        <w:jc w:val="both"/>
        <w:rPr>
          <w:rFonts w:ascii="Times New Roman" w:eastAsia="Times New Roman" w:hAnsi="Times New Roman" w:cs="Times New Roman"/>
          <w:color w:val="000000"/>
        </w:rPr>
      </w:pPr>
      <w:r w:rsidRPr="00AD3A74">
        <w:rPr>
          <w:rFonts w:ascii="Times New Roman" w:eastAsia="Times New Roman" w:hAnsi="Times New Roman" w:cs="Times New Roman"/>
          <w:color w:val="000000"/>
        </w:rPr>
        <w:t>A INFLUÊNCIA DOS CICLOS POLÍTICOS NO ESFORÇO DE ARRECADAÇÃO DO IPTU</w:t>
      </w:r>
    </w:p>
    <w:p w14:paraId="66396801" w14:textId="77777777" w:rsidR="00AD3A74" w:rsidRPr="00AD3A74" w:rsidRDefault="00AD3A74" w:rsidP="00AD3A74">
      <w:pPr>
        <w:spacing w:line="360" w:lineRule="auto"/>
        <w:ind w:firstLine="708"/>
        <w:jc w:val="both"/>
        <w:rPr>
          <w:rFonts w:ascii="Times New Roman" w:hAnsi="Times New Roman" w:cs="Times New Roman"/>
          <w:spacing w:val="1"/>
          <w:sz w:val="24"/>
          <w:szCs w:val="24"/>
        </w:rPr>
      </w:pPr>
      <w:r w:rsidRPr="00AD3A74">
        <w:rPr>
          <w:rFonts w:ascii="Times New Roman" w:eastAsia="Times New Roman" w:hAnsi="Times New Roman" w:cs="Times New Roman"/>
          <w:color w:val="000000"/>
          <w:sz w:val="24"/>
          <w:szCs w:val="24"/>
        </w:rPr>
        <w:t xml:space="preserve">A literatura sobre ciclos político-econômicos é concentrada em análise macroeconômicas. Através de política fiscal e monetária, políticos seriam capazes de gerar condições econômicas </w:t>
      </w:r>
      <w:r w:rsidRPr="00AD3A74">
        <w:rPr>
          <w:rFonts w:ascii="Times New Roman" w:eastAsia="Times New Roman" w:hAnsi="Times New Roman" w:cs="Times New Roman"/>
          <w:color w:val="000000"/>
          <w:sz w:val="24"/>
          <w:szCs w:val="24"/>
        </w:rPr>
        <w:lastRenderedPageBreak/>
        <w:t xml:space="preserve">aparentemente favoráveis para a sociedade (ou para um grupo dela) de maneira a aumentar a probabilidade de reeleição. Essa linha de raciocínio pode ser expandida e </w:t>
      </w:r>
      <w:r w:rsidRPr="00AD3A74">
        <w:rPr>
          <w:rFonts w:ascii="Times New Roman" w:hAnsi="Times New Roman" w:cs="Times New Roman"/>
          <w:spacing w:val="1"/>
          <w:sz w:val="24"/>
          <w:szCs w:val="24"/>
        </w:rPr>
        <w:t xml:space="preserve">permite entender em que medida o desempenho fiscal dos municípios pode ser explicado como uma vantagem dos incumbentes ou do seu grupo político em eleições municipais. </w:t>
      </w:r>
    </w:p>
    <w:p w14:paraId="4357CF3F" w14:textId="77777777" w:rsidR="00AD3A74" w:rsidRPr="00AD3A74" w:rsidRDefault="00AD3A74" w:rsidP="00AD3A74">
      <w:pPr>
        <w:pStyle w:val="Corpodetexto"/>
        <w:spacing w:after="0" w:line="360" w:lineRule="auto"/>
        <w:ind w:firstLine="708"/>
        <w:jc w:val="both"/>
        <w:rPr>
          <w:rFonts w:ascii="Times New Roman" w:hAnsi="Times New Roman"/>
          <w:sz w:val="24"/>
          <w:szCs w:val="24"/>
        </w:rPr>
      </w:pPr>
      <w:r w:rsidRPr="00AD3A74">
        <w:rPr>
          <w:rFonts w:ascii="Times New Roman" w:hAnsi="Times New Roman"/>
          <w:spacing w:val="1"/>
          <w:sz w:val="24"/>
          <w:szCs w:val="24"/>
        </w:rPr>
        <w:t>As primeiras abordagens surgiram em meados dos anos 70, quando economistas p</w:t>
      </w:r>
      <w:r w:rsidRPr="00AD3A74">
        <w:rPr>
          <w:rFonts w:ascii="Times New Roman" w:hAnsi="Times New Roman"/>
          <w:sz w:val="24"/>
          <w:szCs w:val="24"/>
        </w:rPr>
        <w:t>assaram a estudar a influência do calendário eleitoral sobre as decisões</w:t>
      </w:r>
      <w:r w:rsidRPr="00AD3A74">
        <w:rPr>
          <w:rFonts w:ascii="Times New Roman" w:hAnsi="Times New Roman"/>
          <w:spacing w:val="1"/>
          <w:sz w:val="24"/>
          <w:szCs w:val="24"/>
        </w:rPr>
        <w:t xml:space="preserve"> </w:t>
      </w:r>
      <w:r w:rsidRPr="00AD3A74">
        <w:rPr>
          <w:rFonts w:ascii="Times New Roman" w:hAnsi="Times New Roman"/>
          <w:sz w:val="24"/>
          <w:szCs w:val="24"/>
        </w:rPr>
        <w:t>relativas</w:t>
      </w:r>
      <w:r w:rsidRPr="00AD3A74">
        <w:rPr>
          <w:rFonts w:ascii="Times New Roman" w:hAnsi="Times New Roman"/>
          <w:spacing w:val="1"/>
          <w:sz w:val="24"/>
          <w:szCs w:val="24"/>
        </w:rPr>
        <w:t xml:space="preserve"> </w:t>
      </w:r>
      <w:r w:rsidRPr="00AD3A74">
        <w:rPr>
          <w:rFonts w:ascii="Times New Roman" w:hAnsi="Times New Roman"/>
          <w:sz w:val="24"/>
          <w:szCs w:val="24"/>
        </w:rPr>
        <w:t>à</w:t>
      </w:r>
      <w:r w:rsidRPr="00AD3A74">
        <w:rPr>
          <w:rFonts w:ascii="Times New Roman" w:hAnsi="Times New Roman"/>
          <w:spacing w:val="1"/>
          <w:sz w:val="24"/>
          <w:szCs w:val="24"/>
        </w:rPr>
        <w:t xml:space="preserve"> </w:t>
      </w:r>
      <w:r w:rsidRPr="00AD3A74">
        <w:rPr>
          <w:rFonts w:ascii="Times New Roman" w:hAnsi="Times New Roman"/>
          <w:sz w:val="24"/>
          <w:szCs w:val="24"/>
        </w:rPr>
        <w:t>condução</w:t>
      </w:r>
      <w:r w:rsidRPr="00AD3A74">
        <w:rPr>
          <w:rFonts w:ascii="Times New Roman" w:hAnsi="Times New Roman"/>
          <w:spacing w:val="1"/>
          <w:sz w:val="24"/>
          <w:szCs w:val="24"/>
        </w:rPr>
        <w:t xml:space="preserve"> </w:t>
      </w:r>
      <w:r w:rsidRPr="00AD3A74">
        <w:rPr>
          <w:rFonts w:ascii="Times New Roman" w:hAnsi="Times New Roman"/>
          <w:sz w:val="24"/>
          <w:szCs w:val="24"/>
        </w:rPr>
        <w:t>da</w:t>
      </w:r>
      <w:r w:rsidRPr="00AD3A74">
        <w:rPr>
          <w:rFonts w:ascii="Times New Roman" w:hAnsi="Times New Roman"/>
          <w:spacing w:val="1"/>
          <w:sz w:val="24"/>
          <w:szCs w:val="24"/>
        </w:rPr>
        <w:t xml:space="preserve"> </w:t>
      </w:r>
      <w:r w:rsidRPr="00AD3A74">
        <w:rPr>
          <w:rFonts w:ascii="Times New Roman" w:hAnsi="Times New Roman"/>
          <w:sz w:val="24"/>
          <w:szCs w:val="24"/>
        </w:rPr>
        <w:t>política</w:t>
      </w:r>
      <w:r w:rsidRPr="00AD3A74">
        <w:rPr>
          <w:rFonts w:ascii="Times New Roman" w:hAnsi="Times New Roman"/>
          <w:spacing w:val="1"/>
          <w:sz w:val="24"/>
          <w:szCs w:val="24"/>
        </w:rPr>
        <w:t xml:space="preserve"> </w:t>
      </w:r>
      <w:r w:rsidRPr="00AD3A74">
        <w:rPr>
          <w:rFonts w:ascii="Times New Roman" w:hAnsi="Times New Roman"/>
          <w:sz w:val="24"/>
          <w:szCs w:val="24"/>
        </w:rPr>
        <w:t>econômica.</w:t>
      </w:r>
      <w:r w:rsidRPr="00AD3A74">
        <w:rPr>
          <w:rFonts w:ascii="Times New Roman" w:hAnsi="Times New Roman"/>
          <w:spacing w:val="1"/>
          <w:sz w:val="24"/>
          <w:szCs w:val="24"/>
        </w:rPr>
        <w:t xml:space="preserve"> Com a proximidade das eleições, os </w:t>
      </w:r>
      <w:proofErr w:type="spellStart"/>
      <w:r w:rsidRPr="00AD3A74">
        <w:rPr>
          <w:rFonts w:ascii="Times New Roman" w:hAnsi="Times New Roman"/>
          <w:spacing w:val="1"/>
          <w:sz w:val="24"/>
          <w:szCs w:val="24"/>
        </w:rPr>
        <w:t>policymakers</w:t>
      </w:r>
      <w:proofErr w:type="spellEnd"/>
      <w:r w:rsidRPr="00AD3A74">
        <w:rPr>
          <w:rFonts w:ascii="Times New Roman" w:hAnsi="Times New Roman"/>
          <w:spacing w:val="1"/>
          <w:sz w:val="24"/>
          <w:szCs w:val="24"/>
        </w:rPr>
        <w:t xml:space="preserve"> se sentem tentados a manipular instrumentos de </w:t>
      </w:r>
      <w:proofErr w:type="spellStart"/>
      <w:proofErr w:type="gramStart"/>
      <w:r w:rsidRPr="00AD3A74">
        <w:rPr>
          <w:rFonts w:ascii="Times New Roman" w:hAnsi="Times New Roman"/>
          <w:spacing w:val="1"/>
          <w:sz w:val="24"/>
          <w:szCs w:val="24"/>
        </w:rPr>
        <w:t>politica</w:t>
      </w:r>
      <w:proofErr w:type="spellEnd"/>
      <w:proofErr w:type="gramEnd"/>
      <w:r w:rsidRPr="00AD3A74">
        <w:rPr>
          <w:rFonts w:ascii="Times New Roman" w:hAnsi="Times New Roman"/>
          <w:spacing w:val="1"/>
          <w:sz w:val="24"/>
          <w:szCs w:val="24"/>
        </w:rPr>
        <w:t xml:space="preserve"> fiscal e monetária para expandir a economia e </w:t>
      </w:r>
      <w:r w:rsidRPr="00AD3A74">
        <w:rPr>
          <w:rFonts w:ascii="Times New Roman" w:hAnsi="Times New Roman"/>
          <w:sz w:val="24"/>
          <w:szCs w:val="24"/>
        </w:rPr>
        <w:t>desenhar o cenário econômico</w:t>
      </w:r>
      <w:r w:rsidRPr="00AD3A74">
        <w:rPr>
          <w:rFonts w:ascii="Times New Roman" w:hAnsi="Times New Roman"/>
          <w:spacing w:val="1"/>
          <w:sz w:val="24"/>
          <w:szCs w:val="24"/>
        </w:rPr>
        <w:t xml:space="preserve"> </w:t>
      </w:r>
      <w:r w:rsidRPr="00AD3A74">
        <w:rPr>
          <w:rFonts w:ascii="Times New Roman" w:hAnsi="Times New Roman"/>
          <w:sz w:val="24"/>
          <w:szCs w:val="24"/>
        </w:rPr>
        <w:t>ideal para conseguir a reeleição do governante ou a manutenção do seu partido no poder.</w:t>
      </w:r>
      <w:r w:rsidRPr="00AD3A74">
        <w:rPr>
          <w:rFonts w:ascii="Times New Roman" w:hAnsi="Times New Roman"/>
          <w:spacing w:val="1"/>
          <w:sz w:val="24"/>
          <w:szCs w:val="24"/>
        </w:rPr>
        <w:t xml:space="preserve"> </w:t>
      </w:r>
      <w:r w:rsidRPr="00AD3A74">
        <w:rPr>
          <w:rFonts w:ascii="Times New Roman" w:hAnsi="Times New Roman"/>
          <w:sz w:val="24"/>
          <w:szCs w:val="24"/>
        </w:rPr>
        <w:t xml:space="preserve">Passado o período eleitoral, os </w:t>
      </w:r>
      <w:proofErr w:type="spellStart"/>
      <w:r w:rsidRPr="00AD3A74">
        <w:rPr>
          <w:rFonts w:ascii="Times New Roman" w:hAnsi="Times New Roman"/>
          <w:i/>
          <w:sz w:val="24"/>
          <w:szCs w:val="24"/>
        </w:rPr>
        <w:t>policymakers</w:t>
      </w:r>
      <w:proofErr w:type="spellEnd"/>
      <w:r w:rsidRPr="00AD3A74">
        <w:rPr>
          <w:rFonts w:ascii="Times New Roman" w:hAnsi="Times New Roman"/>
          <w:i/>
          <w:sz w:val="24"/>
          <w:szCs w:val="24"/>
        </w:rPr>
        <w:t xml:space="preserve"> </w:t>
      </w:r>
      <w:r w:rsidRPr="00AD3A74">
        <w:rPr>
          <w:rFonts w:ascii="Times New Roman" w:hAnsi="Times New Roman"/>
          <w:sz w:val="24"/>
          <w:szCs w:val="24"/>
        </w:rPr>
        <w:t>tomarão medidas para reverter os efeitos</w:t>
      </w:r>
      <w:r w:rsidRPr="00AD3A74">
        <w:rPr>
          <w:rFonts w:ascii="Times New Roman" w:hAnsi="Times New Roman"/>
          <w:spacing w:val="1"/>
          <w:sz w:val="24"/>
          <w:szCs w:val="24"/>
        </w:rPr>
        <w:t xml:space="preserve"> </w:t>
      </w:r>
      <w:r w:rsidRPr="00AD3A74">
        <w:rPr>
          <w:rFonts w:ascii="Times New Roman" w:hAnsi="Times New Roman"/>
          <w:sz w:val="24"/>
          <w:szCs w:val="24"/>
        </w:rPr>
        <w:t xml:space="preserve">adversos da política econômica implementada anteriormente. Esse dinâmica levaria </w:t>
      </w:r>
      <w:proofErr w:type="gramStart"/>
      <w:r w:rsidRPr="00AD3A74">
        <w:rPr>
          <w:rFonts w:ascii="Times New Roman" w:hAnsi="Times New Roman"/>
          <w:sz w:val="24"/>
          <w:szCs w:val="24"/>
        </w:rPr>
        <w:t>à</w:t>
      </w:r>
      <w:proofErr w:type="gramEnd"/>
      <w:r w:rsidRPr="00AD3A74">
        <w:rPr>
          <w:rFonts w:ascii="Times New Roman" w:hAnsi="Times New Roman"/>
          <w:sz w:val="24"/>
          <w:szCs w:val="24"/>
        </w:rPr>
        <w:t xml:space="preserve"> flutuações na economia, dando origem, assim, a teoria dos ciclos político-econômicos. </w:t>
      </w:r>
    </w:p>
    <w:p w14:paraId="1AB67869" w14:textId="77777777" w:rsidR="00AD3A74" w:rsidRPr="00AD3A74" w:rsidRDefault="00AD3A74" w:rsidP="00AD3A74">
      <w:pPr>
        <w:spacing w:line="360" w:lineRule="auto"/>
        <w:ind w:firstLine="708"/>
        <w:jc w:val="both"/>
        <w:rPr>
          <w:rFonts w:ascii="Times New Roman" w:hAnsi="Times New Roman" w:cs="Times New Roman"/>
          <w:spacing w:val="1"/>
          <w:sz w:val="24"/>
          <w:szCs w:val="24"/>
        </w:rPr>
      </w:pPr>
      <w:r w:rsidRPr="00AD3A74">
        <w:rPr>
          <w:rFonts w:ascii="Times New Roman" w:hAnsi="Times New Roman" w:cs="Times New Roman"/>
          <w:spacing w:val="1"/>
          <w:sz w:val="24"/>
          <w:szCs w:val="24"/>
        </w:rPr>
        <w:t xml:space="preserve">De acordo com </w:t>
      </w:r>
      <w:proofErr w:type="spellStart"/>
      <w:r w:rsidRPr="00AD3A74">
        <w:rPr>
          <w:rFonts w:ascii="Times New Roman" w:hAnsi="Times New Roman" w:cs="Times New Roman"/>
          <w:spacing w:val="1"/>
          <w:sz w:val="24"/>
          <w:szCs w:val="24"/>
        </w:rPr>
        <w:t>Rogoff</w:t>
      </w:r>
      <w:proofErr w:type="spellEnd"/>
      <w:r w:rsidRPr="00AD3A74">
        <w:rPr>
          <w:rFonts w:ascii="Times New Roman" w:hAnsi="Times New Roman" w:cs="Times New Roman"/>
          <w:spacing w:val="1"/>
          <w:sz w:val="24"/>
          <w:szCs w:val="24"/>
        </w:rPr>
        <w:t xml:space="preserve"> e </w:t>
      </w:r>
      <w:proofErr w:type="spellStart"/>
      <w:r w:rsidRPr="00AD3A74">
        <w:rPr>
          <w:rFonts w:ascii="Times New Roman" w:hAnsi="Times New Roman" w:cs="Times New Roman"/>
          <w:spacing w:val="1"/>
          <w:sz w:val="24"/>
          <w:szCs w:val="24"/>
        </w:rPr>
        <w:t>Sibert</w:t>
      </w:r>
      <w:proofErr w:type="spellEnd"/>
      <w:r w:rsidRPr="00AD3A74">
        <w:rPr>
          <w:rFonts w:ascii="Times New Roman" w:hAnsi="Times New Roman" w:cs="Times New Roman"/>
          <w:spacing w:val="1"/>
          <w:sz w:val="24"/>
          <w:szCs w:val="24"/>
        </w:rPr>
        <w:t xml:space="preserve"> (1988), em anos eleitorais, os políticos tendem a se engajar em política fiscal expansionista, reduzindo os impostos ou elevando os gastos públicos, criando o que se denominou ciclos políticos orçamentários (</w:t>
      </w:r>
      <w:proofErr w:type="spellStart"/>
      <w:r w:rsidRPr="00AD3A74">
        <w:rPr>
          <w:rFonts w:ascii="Times New Roman" w:hAnsi="Times New Roman" w:cs="Times New Roman"/>
          <w:spacing w:val="1"/>
          <w:sz w:val="24"/>
          <w:szCs w:val="24"/>
        </w:rPr>
        <w:t>political</w:t>
      </w:r>
      <w:proofErr w:type="spellEnd"/>
      <w:r w:rsidRPr="00AD3A74">
        <w:rPr>
          <w:rFonts w:ascii="Times New Roman" w:hAnsi="Times New Roman" w:cs="Times New Roman"/>
          <w:spacing w:val="1"/>
          <w:sz w:val="24"/>
          <w:szCs w:val="24"/>
        </w:rPr>
        <w:t xml:space="preserve"> budget </w:t>
      </w:r>
      <w:proofErr w:type="spellStart"/>
      <w:r w:rsidRPr="00AD3A74">
        <w:rPr>
          <w:rFonts w:ascii="Times New Roman" w:hAnsi="Times New Roman" w:cs="Times New Roman"/>
          <w:spacing w:val="1"/>
          <w:sz w:val="24"/>
          <w:szCs w:val="24"/>
        </w:rPr>
        <w:t>cycle</w:t>
      </w:r>
      <w:proofErr w:type="spellEnd"/>
      <w:r w:rsidRPr="00AD3A74">
        <w:rPr>
          <w:rFonts w:ascii="Times New Roman" w:hAnsi="Times New Roman" w:cs="Times New Roman"/>
          <w:spacing w:val="1"/>
          <w:sz w:val="24"/>
          <w:szCs w:val="24"/>
        </w:rPr>
        <w:t xml:space="preserve">). Segundo </w:t>
      </w:r>
      <w:proofErr w:type="spellStart"/>
      <w:r w:rsidRPr="00AD3A74">
        <w:rPr>
          <w:rFonts w:ascii="Times New Roman" w:hAnsi="Times New Roman" w:cs="Times New Roman"/>
          <w:spacing w:val="1"/>
          <w:sz w:val="24"/>
          <w:szCs w:val="24"/>
        </w:rPr>
        <w:t>Rogoff</w:t>
      </w:r>
      <w:proofErr w:type="spellEnd"/>
      <w:r w:rsidRPr="00AD3A74">
        <w:rPr>
          <w:rFonts w:ascii="Times New Roman" w:hAnsi="Times New Roman" w:cs="Times New Roman"/>
          <w:spacing w:val="1"/>
          <w:sz w:val="24"/>
          <w:szCs w:val="24"/>
        </w:rPr>
        <w:t xml:space="preserve"> (1990), uma das consequências do ciclo político orçamentário é a impossibilidade de o eleitor distinguir políticos eficientes e ineficientes.</w:t>
      </w:r>
    </w:p>
    <w:p w14:paraId="6536036C" w14:textId="77777777" w:rsidR="00AD3A74" w:rsidRPr="00AD3A74" w:rsidRDefault="00AD3A74" w:rsidP="00AD3A74">
      <w:pPr>
        <w:spacing w:line="360" w:lineRule="auto"/>
        <w:ind w:firstLine="708"/>
        <w:jc w:val="both"/>
        <w:rPr>
          <w:rFonts w:ascii="Times New Roman" w:eastAsia="Times New Roman" w:hAnsi="Times New Roman" w:cs="Times New Roman"/>
          <w:color w:val="000000"/>
          <w:sz w:val="24"/>
          <w:szCs w:val="24"/>
        </w:rPr>
      </w:pPr>
      <w:r w:rsidRPr="00AD3A74">
        <w:rPr>
          <w:rFonts w:ascii="Times New Roman" w:eastAsia="Times New Roman" w:hAnsi="Times New Roman" w:cs="Times New Roman"/>
          <w:color w:val="000000"/>
          <w:sz w:val="24"/>
          <w:szCs w:val="24"/>
        </w:rPr>
        <w:t xml:space="preserve">É próprio da dinâmica das atividades econômicas que ocorra flutuações periódicas, e essas inconstâncias são explicadas por diversos fatores, desde o mais comum associada </w:t>
      </w:r>
      <w:proofErr w:type="gramStart"/>
      <w:r w:rsidRPr="00AD3A74">
        <w:rPr>
          <w:rFonts w:ascii="Times New Roman" w:eastAsia="Times New Roman" w:hAnsi="Times New Roman" w:cs="Times New Roman"/>
          <w:color w:val="000000"/>
          <w:sz w:val="24"/>
          <w:szCs w:val="24"/>
        </w:rPr>
        <w:t>à</w:t>
      </w:r>
      <w:proofErr w:type="gramEnd"/>
      <w:r w:rsidRPr="00AD3A74">
        <w:rPr>
          <w:rFonts w:ascii="Times New Roman" w:eastAsia="Times New Roman" w:hAnsi="Times New Roman" w:cs="Times New Roman"/>
          <w:color w:val="000000"/>
          <w:sz w:val="24"/>
          <w:szCs w:val="24"/>
        </w:rPr>
        <w:t xml:space="preserve"> imperfeições do mercado decorrente da inflexibilidade de algumas variáveis como preços e salários, até aqueles decorrentes de eventos políticos que é quando o governo influencia no desempenho da economia com intuito de obter vantagens eleitorais.</w:t>
      </w:r>
      <w:r w:rsidRPr="00AD3A74">
        <w:rPr>
          <w:rFonts w:ascii="Times New Roman" w:hAnsi="Times New Roman" w:cs="Times New Roman"/>
          <w:color w:val="000000"/>
          <w:sz w:val="24"/>
          <w:szCs w:val="24"/>
        </w:rPr>
        <w:t xml:space="preserve"> </w:t>
      </w:r>
      <w:r w:rsidRPr="00AD3A74">
        <w:rPr>
          <w:rFonts w:ascii="Times New Roman" w:eastAsia="Times New Roman" w:hAnsi="Times New Roman" w:cs="Times New Roman"/>
          <w:color w:val="000000"/>
          <w:sz w:val="24"/>
          <w:szCs w:val="24"/>
        </w:rPr>
        <w:t>A literatura teórica na área de economia política propõe duas explicações alternativas para o fenômeno dos ciclos políticos. De um lado, os modelos de ciclos políticos ressaltam a ideia de que as manipulações eleitoreiras servem para sinalizar a competência administrativa dos governantes, uma vez que somente políticos realmente aptos seriam capazes de produzir tais ciclos. Por outro lado, os modelos de controle eleitoral enfatizam a possibilidade de que os ciclos eleitorais sejam induzidos, ao menos em parte, pela ausência de um monitoramento político adequado por parte dos eleitores, que, neste caso, seriam incapazes de identificar e punir manipulações fiscais oportunistas.</w:t>
      </w:r>
    </w:p>
    <w:p w14:paraId="642E37AD" w14:textId="77777777" w:rsidR="00AD3A74" w:rsidRPr="00AD3A74" w:rsidRDefault="00AD3A74" w:rsidP="00AD3A74">
      <w:pPr>
        <w:spacing w:line="360" w:lineRule="auto"/>
        <w:ind w:firstLine="708"/>
        <w:jc w:val="both"/>
        <w:rPr>
          <w:rFonts w:ascii="Times New Roman" w:eastAsia="Times New Roman" w:hAnsi="Times New Roman" w:cs="Times New Roman"/>
          <w:color w:val="000000"/>
          <w:sz w:val="24"/>
          <w:szCs w:val="24"/>
        </w:rPr>
      </w:pPr>
      <w:r w:rsidRPr="00AD3A74">
        <w:rPr>
          <w:rFonts w:ascii="Times New Roman" w:eastAsia="Times New Roman" w:hAnsi="Times New Roman" w:cs="Times New Roman"/>
          <w:color w:val="000000"/>
          <w:sz w:val="24"/>
          <w:szCs w:val="24"/>
        </w:rPr>
        <w:t xml:space="preserve">O ponto que diferencia os modelos de ciclos político-econômicos é a motivação dos políticos ao escolher a política econômica a ser utilizada. Alguns modelos pressupõem que os políticos sejam oportunistas, enquanto outros acreditam que eles defendem alguma ideologia. O modelo desenvolvido por </w:t>
      </w:r>
      <w:proofErr w:type="spellStart"/>
      <w:r w:rsidRPr="00AD3A74">
        <w:rPr>
          <w:rFonts w:ascii="Times New Roman" w:eastAsia="Times New Roman" w:hAnsi="Times New Roman" w:cs="Times New Roman"/>
          <w:color w:val="000000"/>
          <w:sz w:val="24"/>
          <w:szCs w:val="24"/>
        </w:rPr>
        <w:t>Nordhaus</w:t>
      </w:r>
      <w:proofErr w:type="spellEnd"/>
      <w:r w:rsidRPr="00AD3A74">
        <w:rPr>
          <w:rFonts w:ascii="Times New Roman" w:eastAsia="Times New Roman" w:hAnsi="Times New Roman" w:cs="Times New Roman"/>
          <w:color w:val="000000"/>
          <w:sz w:val="24"/>
          <w:szCs w:val="24"/>
        </w:rPr>
        <w:t xml:space="preserve"> (1975) está baseado na ideia defendida por Downs (1957) de que os políticos são oportunistas, tendo como única motivação a maximização do número de votos nas eleições. É a partir </w:t>
      </w:r>
      <w:r w:rsidRPr="00AD3A74">
        <w:rPr>
          <w:rFonts w:ascii="Times New Roman" w:eastAsia="Times New Roman" w:hAnsi="Times New Roman" w:cs="Times New Roman"/>
          <w:color w:val="000000"/>
          <w:sz w:val="24"/>
          <w:szCs w:val="24"/>
        </w:rPr>
        <w:lastRenderedPageBreak/>
        <w:t xml:space="preserve">do trabalho de </w:t>
      </w:r>
      <w:proofErr w:type="spellStart"/>
      <w:r w:rsidRPr="00AD3A74">
        <w:rPr>
          <w:rFonts w:ascii="Times New Roman" w:eastAsia="Times New Roman" w:hAnsi="Times New Roman" w:cs="Times New Roman"/>
          <w:color w:val="000000"/>
          <w:sz w:val="24"/>
          <w:szCs w:val="24"/>
        </w:rPr>
        <w:t>Nordhaus</w:t>
      </w:r>
      <w:proofErr w:type="spellEnd"/>
      <w:r w:rsidRPr="00AD3A74">
        <w:rPr>
          <w:rFonts w:ascii="Times New Roman" w:eastAsia="Times New Roman" w:hAnsi="Times New Roman" w:cs="Times New Roman"/>
          <w:color w:val="000000"/>
          <w:sz w:val="24"/>
          <w:szCs w:val="24"/>
        </w:rPr>
        <w:t xml:space="preserve">, que as decisões políticas ganham destaque na explicação dos ciclos econômicos. Os modelos oportunistas tradicionais, ao deduzir que os políticos eram iguais, têm como única motivação a permanência no poder e que isso influenciaria nas escolhas relativas ao esforço de arrecadação, por exemplo. </w:t>
      </w:r>
    </w:p>
    <w:p w14:paraId="5C1AC1D6" w14:textId="1FDBC55F" w:rsidR="00AD3A74" w:rsidRPr="00AD3A74" w:rsidRDefault="00AD3A74" w:rsidP="00AD3A74">
      <w:pPr>
        <w:spacing w:line="360" w:lineRule="auto"/>
        <w:ind w:firstLine="708"/>
        <w:jc w:val="both"/>
        <w:rPr>
          <w:rFonts w:ascii="Times New Roman" w:eastAsia="Times New Roman" w:hAnsi="Times New Roman" w:cs="Times New Roman"/>
          <w:color w:val="000000"/>
          <w:sz w:val="24"/>
          <w:szCs w:val="24"/>
        </w:rPr>
      </w:pPr>
      <w:r w:rsidRPr="00AD3A74">
        <w:rPr>
          <w:rFonts w:ascii="Times New Roman" w:eastAsia="Times New Roman" w:hAnsi="Times New Roman" w:cs="Times New Roman"/>
          <w:color w:val="000000"/>
          <w:sz w:val="24"/>
          <w:szCs w:val="24"/>
        </w:rPr>
        <w:t xml:space="preserve">A teoria dos ciclos políticos indica, no caso da arrecadação de impostos municipais, que os governos tendem a reduzir a arrecadação em anos de eleição, para aumentar a popularidade, o que resulta em baixo esforço arrecadatório por parte do município. Para preservar seu poder muitos prefeitos optam por evitar as consequências negativas na política, própria a cobrança do tributo direto e de sua competência. </w:t>
      </w:r>
      <w:proofErr w:type="spellStart"/>
      <w:r w:rsidRPr="00AD3A74">
        <w:rPr>
          <w:rFonts w:ascii="Times New Roman" w:eastAsia="Times New Roman" w:hAnsi="Times New Roman" w:cs="Times New Roman"/>
          <w:color w:val="000000"/>
          <w:sz w:val="24"/>
          <w:szCs w:val="24"/>
        </w:rPr>
        <w:t>Drazen</w:t>
      </w:r>
      <w:proofErr w:type="spellEnd"/>
      <w:r w:rsidRPr="00AD3A74">
        <w:rPr>
          <w:rFonts w:ascii="Times New Roman" w:eastAsia="Times New Roman" w:hAnsi="Times New Roman" w:cs="Times New Roman"/>
          <w:color w:val="000000"/>
          <w:sz w:val="24"/>
          <w:szCs w:val="24"/>
        </w:rPr>
        <w:t xml:space="preserve"> (200</w:t>
      </w:r>
      <w:r w:rsidR="007D56D3">
        <w:rPr>
          <w:rFonts w:ascii="Times New Roman" w:eastAsia="Times New Roman" w:hAnsi="Times New Roman" w:cs="Times New Roman"/>
          <w:color w:val="000000"/>
          <w:sz w:val="24"/>
          <w:szCs w:val="24"/>
        </w:rPr>
        <w:t>0</w:t>
      </w:r>
      <w:r w:rsidRPr="00AD3A74">
        <w:rPr>
          <w:rFonts w:ascii="Times New Roman" w:eastAsia="Times New Roman" w:hAnsi="Times New Roman" w:cs="Times New Roman"/>
          <w:color w:val="000000"/>
          <w:sz w:val="24"/>
          <w:szCs w:val="24"/>
        </w:rPr>
        <w:t xml:space="preserve">) define os ciclos políticos como “períodos em que algum componente do orçamento do governo é induzido pelo ciclo eleitoral. Ele argumenta que esses ciclos refletem a tentativa dos governantes de usar a política fiscal para influenciar o comportamento dos eleitores e aumentar suas chances de reeleição. </w:t>
      </w:r>
    </w:p>
    <w:p w14:paraId="098B0E5B" w14:textId="77777777" w:rsidR="00AD3A74" w:rsidRPr="00AD3A74" w:rsidRDefault="00AD3A74" w:rsidP="00AD3A74">
      <w:pPr>
        <w:spacing w:line="360" w:lineRule="auto"/>
        <w:ind w:firstLine="708"/>
        <w:jc w:val="both"/>
        <w:rPr>
          <w:rFonts w:ascii="Times New Roman" w:eastAsia="Times New Roman" w:hAnsi="Times New Roman" w:cs="Times New Roman"/>
          <w:color w:val="000000"/>
          <w:sz w:val="24"/>
          <w:szCs w:val="24"/>
        </w:rPr>
      </w:pPr>
      <w:r w:rsidRPr="00AD3A74">
        <w:rPr>
          <w:rFonts w:ascii="Times New Roman" w:eastAsia="Times New Roman" w:hAnsi="Times New Roman" w:cs="Times New Roman"/>
          <w:color w:val="000000"/>
          <w:sz w:val="24"/>
          <w:szCs w:val="24"/>
        </w:rPr>
        <w:t xml:space="preserve">A literatura sobre ciclos político-econômicos é muito concentrada em manipulações relacionadas à gastos, obras, pelo lado da despesa, mas, também associada </w:t>
      </w:r>
      <w:proofErr w:type="gramStart"/>
      <w:r w:rsidRPr="00AD3A74">
        <w:rPr>
          <w:rFonts w:ascii="Times New Roman" w:eastAsia="Times New Roman" w:hAnsi="Times New Roman" w:cs="Times New Roman"/>
          <w:color w:val="000000"/>
          <w:sz w:val="24"/>
          <w:szCs w:val="24"/>
        </w:rPr>
        <w:t>à</w:t>
      </w:r>
      <w:proofErr w:type="gramEnd"/>
      <w:r w:rsidRPr="00AD3A74">
        <w:rPr>
          <w:rFonts w:ascii="Times New Roman" w:eastAsia="Times New Roman" w:hAnsi="Times New Roman" w:cs="Times New Roman"/>
          <w:color w:val="000000"/>
          <w:sz w:val="24"/>
          <w:szCs w:val="24"/>
        </w:rPr>
        <w:t xml:space="preserve"> manipulações fiscais que evitam o ônus político da arrecadação e acabam afetando as receitas. Vicente e Nascimento (2012), estudando, com um enfoque contábil, a efetividade dos ciclos políticos nos municípios brasileiros apontam que a assimetria informacional exerce uma influência significativa nos ciclos políticos, fazendo com que, para permanecer no poder, os governantes se aproveitem de uma possível falta de racionalidade do eleitor, incapaz de antever comportamentos oportunistas.</w:t>
      </w:r>
    </w:p>
    <w:p w14:paraId="36B263D8" w14:textId="77777777" w:rsidR="00AD3A74" w:rsidRPr="00AD3A74" w:rsidRDefault="00AD3A74" w:rsidP="00AD3A74">
      <w:pPr>
        <w:spacing w:line="360" w:lineRule="auto"/>
        <w:ind w:firstLine="708"/>
        <w:jc w:val="both"/>
        <w:rPr>
          <w:rFonts w:ascii="Times New Roman" w:hAnsi="Times New Roman" w:cs="Times New Roman"/>
        </w:rPr>
      </w:pPr>
      <w:r w:rsidRPr="00AD3A74">
        <w:rPr>
          <w:rFonts w:ascii="Times New Roman" w:hAnsi="Times New Roman" w:cs="Times New Roman"/>
        </w:rPr>
        <w:t xml:space="preserve">No caso da arrecadação de impostos municipais, a teoria dos ciclos políticos sugere que os políticos tendem a reduzir a arrecadação de impostos antes das eleições para aumentar sua popularidade. Isso pode resultar em baixo esforço arrecadatório, especialmente dos impostos diretos. Como a maioria desses municípios não enfrentaria problemas financeiros estruturais decorrentes da baixa arrecadação, já que os impostos municipais são residuais na composição das receitas municipais, a baixa arrecadação em anos eleitorais não precisaria ser compensada nos anos seguintes. Dessa forma, mesmo um eleitor fiscalmente conservador não seria inclinado a punir políticas expansionistas já que esta atitude, na maioria dos municípios, não geraria déficits orçamentários crônicos não afetaria o atendimento das demandas sociais do município a longo prazo. </w:t>
      </w:r>
    </w:p>
    <w:p w14:paraId="74AD2471" w14:textId="77777777" w:rsidR="00AD3A74" w:rsidRPr="00AD3A74" w:rsidRDefault="00AD3A74" w:rsidP="00AD3A74">
      <w:pPr>
        <w:spacing w:line="360" w:lineRule="auto"/>
        <w:ind w:firstLine="708"/>
        <w:jc w:val="both"/>
        <w:rPr>
          <w:rFonts w:ascii="Times New Roman" w:hAnsi="Times New Roman" w:cs="Times New Roman"/>
        </w:rPr>
      </w:pPr>
      <w:r w:rsidRPr="00AD3A74">
        <w:rPr>
          <w:rFonts w:ascii="Times New Roman" w:hAnsi="Times New Roman" w:cs="Times New Roman"/>
        </w:rPr>
        <w:t>Nesse sentido, as transferências intergovernamentais brasileiras, principalmente as transferências e pagamentos único sem parcelamento (</w:t>
      </w:r>
      <w:proofErr w:type="spellStart"/>
      <w:r w:rsidRPr="00AD3A74">
        <w:rPr>
          <w:rFonts w:ascii="Times New Roman" w:hAnsi="Times New Roman" w:cs="Times New Roman"/>
          <w:i/>
          <w:iCs/>
        </w:rPr>
        <w:t>lump</w:t>
      </w:r>
      <w:proofErr w:type="spellEnd"/>
      <w:r w:rsidRPr="00AD3A74">
        <w:rPr>
          <w:rFonts w:ascii="Times New Roman" w:hAnsi="Times New Roman" w:cs="Times New Roman"/>
          <w:i/>
          <w:iCs/>
        </w:rPr>
        <w:t xml:space="preserve"> sum)</w:t>
      </w:r>
      <w:r w:rsidRPr="00AD3A74">
        <w:rPr>
          <w:rFonts w:ascii="Times New Roman" w:hAnsi="Times New Roman" w:cs="Times New Roman"/>
        </w:rPr>
        <w:t>, ao proverem uma fonte de receitas sem o ônus político da arrecadação, acabam criando um ambiente para os ciclos econômico eleitorais. Essa caracterização se assemelha mais ao modelo oportunista dos ciclos</w:t>
      </w:r>
      <w:r w:rsidRPr="00AD3A74">
        <w:rPr>
          <w:rFonts w:ascii="Times New Roman" w:hAnsi="Times New Roman" w:cs="Times New Roman"/>
          <w:spacing w:val="1"/>
        </w:rPr>
        <w:t xml:space="preserve"> </w:t>
      </w:r>
      <w:r w:rsidRPr="00AD3A74">
        <w:rPr>
          <w:rFonts w:ascii="Times New Roman" w:hAnsi="Times New Roman" w:cs="Times New Roman"/>
        </w:rPr>
        <w:t>político-econômicos</w:t>
      </w:r>
      <w:r w:rsidRPr="00AD3A74">
        <w:rPr>
          <w:rFonts w:ascii="Times New Roman" w:hAnsi="Times New Roman" w:cs="Times New Roman"/>
          <w:spacing w:val="-1"/>
        </w:rPr>
        <w:t xml:space="preserve"> </w:t>
      </w:r>
      <w:r w:rsidRPr="00AD3A74">
        <w:rPr>
          <w:rFonts w:ascii="Times New Roman" w:hAnsi="Times New Roman" w:cs="Times New Roman"/>
        </w:rPr>
        <w:t>tradicionais em que o governante com a o baixo esforço fiscal teria como única motivação a</w:t>
      </w:r>
      <w:r w:rsidRPr="00AD3A74">
        <w:rPr>
          <w:rFonts w:ascii="Times New Roman" w:hAnsi="Times New Roman" w:cs="Times New Roman"/>
          <w:spacing w:val="1"/>
        </w:rPr>
        <w:t xml:space="preserve"> </w:t>
      </w:r>
      <w:r w:rsidRPr="00AD3A74">
        <w:rPr>
          <w:rFonts w:ascii="Times New Roman" w:hAnsi="Times New Roman" w:cs="Times New Roman"/>
        </w:rPr>
        <w:t xml:space="preserve">maximização do número de votos nas eleições. </w:t>
      </w:r>
    </w:p>
    <w:p w14:paraId="2ECB0AD5" w14:textId="77777777" w:rsidR="00AD3A74" w:rsidRPr="00AD3A74" w:rsidRDefault="00AD3A74" w:rsidP="00226FE5">
      <w:pPr>
        <w:pStyle w:val="PargrafodaLista"/>
        <w:numPr>
          <w:ilvl w:val="0"/>
          <w:numId w:val="2"/>
        </w:numPr>
        <w:spacing w:before="240" w:after="240" w:line="360" w:lineRule="auto"/>
        <w:ind w:left="425" w:hanging="357"/>
        <w:jc w:val="both"/>
        <w:rPr>
          <w:rFonts w:ascii="Times New Roman" w:eastAsia="Times New Roman" w:hAnsi="Times New Roman" w:cs="Times New Roman"/>
          <w:color w:val="000000"/>
        </w:rPr>
      </w:pPr>
      <w:r w:rsidRPr="00AD3A74">
        <w:rPr>
          <w:rFonts w:ascii="Times New Roman" w:eastAsia="Times New Roman" w:hAnsi="Times New Roman" w:cs="Times New Roman"/>
          <w:color w:val="000000"/>
        </w:rPr>
        <w:t>VITÓRIA DA CONQUISTA: CARACTERÍSTICAS E TRANSFORMAÇÕES RECENTES.</w:t>
      </w:r>
    </w:p>
    <w:p w14:paraId="364D2495" w14:textId="220EC5B8" w:rsidR="00AD3A74" w:rsidRPr="00AD3A74" w:rsidRDefault="00AD3A74" w:rsidP="00AD3A74">
      <w:pPr>
        <w:pStyle w:val="Recuodecorpodetexto"/>
        <w:tabs>
          <w:tab w:val="left" w:pos="567"/>
        </w:tabs>
        <w:spacing w:after="0" w:line="360" w:lineRule="auto"/>
        <w:ind w:left="0"/>
        <w:jc w:val="both"/>
        <w:rPr>
          <w:rFonts w:ascii="Times New Roman" w:hAnsi="Times New Roman" w:cs="Times New Roman"/>
          <w:sz w:val="24"/>
          <w:szCs w:val="24"/>
        </w:rPr>
      </w:pPr>
      <w:r w:rsidRPr="00AD3A74">
        <w:rPr>
          <w:rFonts w:ascii="Times New Roman" w:hAnsi="Times New Roman" w:cs="Times New Roman"/>
          <w:sz w:val="24"/>
          <w:szCs w:val="24"/>
        </w:rPr>
        <w:lastRenderedPageBreak/>
        <w:tab/>
      </w:r>
      <w:r w:rsidRPr="00AD3A74">
        <w:rPr>
          <w:rFonts w:ascii="Times New Roman" w:hAnsi="Times New Roman" w:cs="Times New Roman"/>
          <w:sz w:val="24"/>
          <w:szCs w:val="24"/>
        </w:rPr>
        <w:tab/>
        <w:t xml:space="preserve">O município </w:t>
      </w:r>
      <w:r w:rsidRPr="00BD4605">
        <w:rPr>
          <w:rFonts w:ascii="Times New Roman" w:hAnsi="Times New Roman" w:cs="Times New Roman"/>
          <w:sz w:val="24"/>
          <w:szCs w:val="24"/>
        </w:rPr>
        <w:t xml:space="preserve">de Vitória da Conquista é o terceiro maior em população do estado da Bahia, </w:t>
      </w:r>
      <w:r w:rsidR="00BD4605" w:rsidRPr="00BD4605">
        <w:rPr>
          <w:rFonts w:ascii="Times New Roman" w:hAnsi="Times New Roman" w:cs="Times New Roman"/>
          <w:sz w:val="24"/>
          <w:szCs w:val="24"/>
        </w:rPr>
        <w:t xml:space="preserve">o terceiro em salários pagos pelo governo do Estado. </w:t>
      </w:r>
      <w:r w:rsidRPr="00BD4605">
        <w:rPr>
          <w:rFonts w:ascii="Times New Roman" w:hAnsi="Times New Roman" w:cs="Times New Roman"/>
          <w:sz w:val="24"/>
          <w:szCs w:val="24"/>
        </w:rPr>
        <w:t>porém apenas</w:t>
      </w:r>
      <w:r w:rsidRPr="00AD3A74">
        <w:rPr>
          <w:rFonts w:ascii="Times New Roman" w:hAnsi="Times New Roman" w:cs="Times New Roman"/>
          <w:sz w:val="24"/>
          <w:szCs w:val="24"/>
        </w:rPr>
        <w:t xml:space="preserve"> o sexto entres os municípios com maior produto municipal. Sua participação no produto estadual, de 2,33%, não se deslocou das taxas históricas ao longo das últimas décadas, o que o fez perder posição relativa para municípios menores como Luís Eduardo Magalhães. A cidade se estabeleceu como força polarizadora em sua região de articulação, exercendo um comando sobre o território numa proporção direta do seu tamanho, da densidade e diversificação da sua estrutura produtiva e sua rede de serviços, especialmente, transportes, saúde e educação. Outro fator determinante para a influência regional é a distância em relação a outros centros polarizadores, como Salvador e Belo Horizonte. </w:t>
      </w:r>
    </w:p>
    <w:p w14:paraId="48812FE9" w14:textId="77777777" w:rsidR="00AD3A74" w:rsidRPr="00AD3A74" w:rsidRDefault="00AD3A74" w:rsidP="00AD3A74">
      <w:pPr>
        <w:pStyle w:val="Recuodecorpodetexto"/>
        <w:tabs>
          <w:tab w:val="left" w:pos="567"/>
        </w:tabs>
        <w:spacing w:after="0" w:line="360" w:lineRule="auto"/>
        <w:ind w:left="0"/>
        <w:jc w:val="both"/>
        <w:rPr>
          <w:rFonts w:ascii="Times New Roman" w:hAnsi="Times New Roman" w:cs="Times New Roman"/>
          <w:sz w:val="24"/>
          <w:szCs w:val="24"/>
        </w:rPr>
      </w:pPr>
      <w:r w:rsidRPr="00AD3A74">
        <w:rPr>
          <w:rFonts w:ascii="Times New Roman" w:hAnsi="Times New Roman" w:cs="Times New Roman"/>
          <w:sz w:val="24"/>
          <w:szCs w:val="24"/>
        </w:rPr>
        <w:tab/>
      </w:r>
      <w:r w:rsidRPr="00AD3A74">
        <w:rPr>
          <w:rFonts w:ascii="Times New Roman" w:hAnsi="Times New Roman" w:cs="Times New Roman"/>
          <w:sz w:val="24"/>
          <w:szCs w:val="24"/>
        </w:rPr>
        <w:tab/>
        <w:t xml:space="preserve">A economia do município, em função de sua posição geográfica, apresenta elementos de endogeneidade em seu desenvolvimento, no entanto, de forma geral, sua lógica é exógena. A administração pública é o principal vetor da atividade econômica, dado que o município centraliza o oferecimento de muitos serviços que dependem de uma escala regional, especialmente, saúde, educação, entretenimento e financeiros. A presença de duas universidades públicas, um instituto federal, hospital regional, sede regional da polícia federal, caixa econômica e receita federal, concentrar diretorias regionais de saúde e educação, torna que a injeção de recursos (especialmente salário de servidores) relacionada à manutenção desses órgãos uma das mais importantes fontes de renda da economia local. Soma-se a isto os salários da prefeitura e outras instituições públicas. </w:t>
      </w:r>
    </w:p>
    <w:p w14:paraId="1F17D7EF" w14:textId="77777777" w:rsidR="00AD3A74" w:rsidRPr="00AD3A74" w:rsidRDefault="00AD3A74" w:rsidP="00AD3A74">
      <w:pPr>
        <w:pStyle w:val="Recuodecorpodetexto"/>
        <w:tabs>
          <w:tab w:val="left" w:pos="567"/>
        </w:tabs>
        <w:spacing w:after="0" w:line="360" w:lineRule="auto"/>
        <w:ind w:left="0"/>
        <w:jc w:val="both"/>
        <w:rPr>
          <w:rFonts w:ascii="Times New Roman" w:hAnsi="Times New Roman" w:cs="Times New Roman"/>
          <w:sz w:val="24"/>
          <w:szCs w:val="24"/>
        </w:rPr>
      </w:pPr>
      <w:r w:rsidRPr="00AD3A74">
        <w:rPr>
          <w:rFonts w:ascii="Times New Roman" w:hAnsi="Times New Roman" w:cs="Times New Roman"/>
          <w:sz w:val="24"/>
          <w:szCs w:val="24"/>
        </w:rPr>
        <w:tab/>
      </w:r>
      <w:r w:rsidRPr="00AD3A74">
        <w:rPr>
          <w:rFonts w:ascii="Times New Roman" w:hAnsi="Times New Roman" w:cs="Times New Roman"/>
          <w:sz w:val="24"/>
          <w:szCs w:val="24"/>
        </w:rPr>
        <w:tab/>
        <w:t>Essa concentração local de serviços regionais acaba funcionando como força centrípeta, atraindo instituições privadas (como hospitais e faculdades) e aumentando a influência do município em sua região de articulação. Excetuando a centralização geográfica, Vitória da conquista não apresenta vantagens competitivas para se constituir como um outlier na economia baiana. O segmento industrial é concentrado na construção civil, pequena indústria de transformação e indústria de alimentos, que, pela escala produtiva incorporam pouca tecnologia nos processos produtivos. Sua história política, marcada pela oposição aos governos estadual e federal, fez com que o município fosse pouco beneficiado pelas políticas de desenvolvimento - modelos exógenos. A mais importante variável exógena (dinâmica) do processo político foi a UESB.</w:t>
      </w:r>
    </w:p>
    <w:p w14:paraId="70C3C0F1" w14:textId="77777777" w:rsidR="00AD3A74" w:rsidRPr="00AD3A74" w:rsidRDefault="00AD3A74" w:rsidP="00AD3A74">
      <w:pPr>
        <w:pStyle w:val="Recuodecorpodetexto"/>
        <w:tabs>
          <w:tab w:val="left" w:pos="567"/>
        </w:tabs>
        <w:spacing w:after="0" w:line="360" w:lineRule="auto"/>
        <w:ind w:left="0"/>
        <w:jc w:val="both"/>
        <w:rPr>
          <w:rFonts w:ascii="Times New Roman" w:hAnsi="Times New Roman" w:cs="Times New Roman"/>
          <w:sz w:val="24"/>
          <w:szCs w:val="24"/>
        </w:rPr>
      </w:pPr>
      <w:r w:rsidRPr="00AD3A74">
        <w:rPr>
          <w:rFonts w:ascii="Times New Roman" w:hAnsi="Times New Roman" w:cs="Times New Roman"/>
          <w:sz w:val="24"/>
          <w:szCs w:val="24"/>
        </w:rPr>
        <w:tab/>
      </w:r>
      <w:r w:rsidRPr="00AD3A74">
        <w:rPr>
          <w:rFonts w:ascii="Times New Roman" w:hAnsi="Times New Roman" w:cs="Times New Roman"/>
          <w:sz w:val="24"/>
          <w:szCs w:val="24"/>
        </w:rPr>
        <w:tab/>
        <w:t>Além da importância econômica a presença no município de bens e serviços de ordem elevada, que só podem ser oferecidos em lugares centrais, torna a cidade privilegiada na hierarquia das cidades baianas. Em Vitória da Conquista tem se manifestado, ao longo dos últimos anos, a presença de bens públicos como agente portador da urbanidade.</w:t>
      </w:r>
    </w:p>
    <w:p w14:paraId="20CDC494" w14:textId="77777777" w:rsidR="00AD3A74" w:rsidRPr="00AD3A74" w:rsidRDefault="00AD3A74" w:rsidP="00AD3A74">
      <w:pPr>
        <w:pStyle w:val="Recuodecorpodetexto"/>
        <w:tabs>
          <w:tab w:val="left" w:pos="567"/>
        </w:tabs>
        <w:spacing w:after="0" w:line="360" w:lineRule="auto"/>
        <w:ind w:left="0"/>
        <w:jc w:val="both"/>
        <w:rPr>
          <w:rFonts w:ascii="Times New Roman" w:hAnsi="Times New Roman" w:cs="Times New Roman"/>
          <w:sz w:val="24"/>
          <w:szCs w:val="24"/>
        </w:rPr>
      </w:pPr>
      <w:r w:rsidRPr="00AD3A74">
        <w:rPr>
          <w:rFonts w:ascii="Times New Roman" w:hAnsi="Times New Roman" w:cs="Times New Roman"/>
          <w:sz w:val="24"/>
          <w:szCs w:val="24"/>
        </w:rPr>
        <w:tab/>
      </w:r>
      <w:r w:rsidRPr="00AD3A74">
        <w:rPr>
          <w:rFonts w:ascii="Times New Roman" w:hAnsi="Times New Roman" w:cs="Times New Roman"/>
          <w:sz w:val="24"/>
          <w:szCs w:val="24"/>
        </w:rPr>
        <w:tab/>
        <w:t xml:space="preserve">Vitória da Conquista apresenta indicadores econômicos e sociais superiores aos dos municípios de sua região de influência. Contudo, quando se considera outros municípios do país ou até mesmo do Estado, apresenta indicadores desfavoráveis. Das receitas correntes da prefeitura </w:t>
      </w:r>
      <w:r w:rsidRPr="00AD3A74">
        <w:rPr>
          <w:rFonts w:ascii="Times New Roman" w:hAnsi="Times New Roman" w:cs="Times New Roman"/>
          <w:sz w:val="24"/>
          <w:szCs w:val="24"/>
        </w:rPr>
        <w:lastRenderedPageBreak/>
        <w:t xml:space="preserve">municipal, 74,3% são oriundas de transferências intergovernamentais, tanto as incondicionais (como o FPM), como as derivadas (ICMS) e as condicionadas (Fundeb, SUS, FNDE e FNAS). Ou seja, apenas ¼ das receitas correntes decorrem da arrecadação local. Embora seja comum entre os municípios a alta participação das transferências nas receitas correntes (em função do modelo de descentralização fiscal brasileiro), nos municípios médios e com maior dinamismo econômico a arrecadação própria é de cerca de 35%. </w:t>
      </w:r>
    </w:p>
    <w:p w14:paraId="10FB3251" w14:textId="77777777" w:rsidR="00AD3A74" w:rsidRPr="00AD3A74" w:rsidRDefault="00AD3A74" w:rsidP="00AD3A74">
      <w:pPr>
        <w:pStyle w:val="Recuodecorpodetexto"/>
        <w:tabs>
          <w:tab w:val="left" w:pos="567"/>
        </w:tabs>
        <w:spacing w:after="0" w:line="360" w:lineRule="auto"/>
        <w:ind w:left="0"/>
        <w:jc w:val="both"/>
        <w:rPr>
          <w:rFonts w:ascii="Times New Roman" w:hAnsi="Times New Roman" w:cs="Times New Roman"/>
          <w:sz w:val="24"/>
          <w:szCs w:val="24"/>
        </w:rPr>
      </w:pPr>
      <w:r w:rsidRPr="00AD3A74">
        <w:rPr>
          <w:rFonts w:ascii="Times New Roman" w:hAnsi="Times New Roman" w:cs="Times New Roman"/>
          <w:sz w:val="24"/>
          <w:szCs w:val="24"/>
        </w:rPr>
        <w:tab/>
      </w:r>
      <w:r w:rsidRPr="00AD3A74">
        <w:rPr>
          <w:rFonts w:ascii="Times New Roman" w:hAnsi="Times New Roman" w:cs="Times New Roman"/>
          <w:sz w:val="24"/>
          <w:szCs w:val="24"/>
        </w:rPr>
        <w:tab/>
        <w:t xml:space="preserve">Além das transferências intergovernamentais o município é muito dependente das transferências de renda para pessoas e famílias. Só no Programa Bolsa Família (PBF) são 50,8 mil famílias beneficiadas, o que corresponde a 130 mil pessoas beneficiadas pelo programa. Ou seja, 33% da população (estimada em 387 mil habitantes pelo </w:t>
      </w:r>
      <w:proofErr w:type="spellStart"/>
      <w:r w:rsidRPr="00AD3A74">
        <w:rPr>
          <w:rFonts w:ascii="Times New Roman" w:hAnsi="Times New Roman" w:cs="Times New Roman"/>
          <w:sz w:val="24"/>
          <w:szCs w:val="24"/>
        </w:rPr>
        <w:t>Siconfi</w:t>
      </w:r>
      <w:proofErr w:type="spellEnd"/>
      <w:r w:rsidRPr="00AD3A74">
        <w:rPr>
          <w:rFonts w:ascii="Times New Roman" w:hAnsi="Times New Roman" w:cs="Times New Roman"/>
          <w:sz w:val="24"/>
          <w:szCs w:val="24"/>
        </w:rPr>
        <w:t xml:space="preserve">/Tesouro Nacional, em 2024) tem o PBF como fonte sustento. Como comparação, a cidade de Maringá, no Paraná, de população um pouco superior à Vitoria da Conquista, tinha apenas 12,4 mil famílias no programa, ou seja, apenas 24,4%. Só o PBF injetou na economia da cidade de Vitória da Conquista, 403 milhões de reais, valores que somados aos 314 milhões do Benefício de Prestação Continuada – BPC (com 19,6 mil benefícios), são 13 vezes </w:t>
      </w:r>
      <w:proofErr w:type="gramStart"/>
      <w:r w:rsidRPr="00AD3A74">
        <w:rPr>
          <w:rFonts w:ascii="Times New Roman" w:hAnsi="Times New Roman" w:cs="Times New Roman"/>
          <w:sz w:val="24"/>
          <w:szCs w:val="24"/>
        </w:rPr>
        <w:t>maior do que a arrecadação</w:t>
      </w:r>
      <w:proofErr w:type="gramEnd"/>
      <w:r w:rsidRPr="00AD3A74">
        <w:rPr>
          <w:rFonts w:ascii="Times New Roman" w:hAnsi="Times New Roman" w:cs="Times New Roman"/>
          <w:sz w:val="24"/>
          <w:szCs w:val="24"/>
        </w:rPr>
        <w:t xml:space="preserve"> municipal do IPTU e 5 vezes maior do que a arrecadação do ISS.</w:t>
      </w:r>
    </w:p>
    <w:p w14:paraId="0FC60B05" w14:textId="77777777" w:rsidR="00AD3A74" w:rsidRPr="00AD3A74" w:rsidRDefault="00AD3A74" w:rsidP="00AD3A74">
      <w:pPr>
        <w:pStyle w:val="Recuodecorpodetexto"/>
        <w:tabs>
          <w:tab w:val="left" w:pos="567"/>
        </w:tabs>
        <w:spacing w:after="0" w:line="360" w:lineRule="auto"/>
        <w:ind w:left="0"/>
        <w:jc w:val="both"/>
        <w:rPr>
          <w:rFonts w:ascii="Times New Roman" w:hAnsi="Times New Roman" w:cs="Times New Roman"/>
          <w:sz w:val="24"/>
          <w:szCs w:val="24"/>
        </w:rPr>
      </w:pPr>
      <w:r w:rsidRPr="00AD3A74">
        <w:rPr>
          <w:rFonts w:ascii="Times New Roman" w:hAnsi="Times New Roman" w:cs="Times New Roman"/>
          <w:sz w:val="24"/>
          <w:szCs w:val="24"/>
        </w:rPr>
        <w:tab/>
      </w:r>
      <w:r w:rsidRPr="00AD3A74">
        <w:rPr>
          <w:rFonts w:ascii="Times New Roman" w:hAnsi="Times New Roman" w:cs="Times New Roman"/>
          <w:sz w:val="24"/>
          <w:szCs w:val="24"/>
        </w:rPr>
        <w:tab/>
        <w:t xml:space="preserve">O desempenho fiscal do município na arrecadação per capita dos tributos de sua competência é mediano, abaixo de cidades pequenas como Itacaré e Maraú, de cidades médias como Luís Eduardo Magalhães e Porto Seguro e de cidades grandes como Salvador e Feira de Santana. Os municípios com forte atividade no turismo são os melhores arrecadadores do IPTU </w:t>
      </w:r>
      <w:r w:rsidRPr="00AD3A74">
        <w:rPr>
          <w:rFonts w:ascii="Times New Roman" w:hAnsi="Times New Roman" w:cs="Times New Roman"/>
          <w:i/>
          <w:iCs/>
          <w:sz w:val="24"/>
          <w:szCs w:val="24"/>
        </w:rPr>
        <w:t>per capita</w:t>
      </w:r>
      <w:r w:rsidRPr="00AD3A74">
        <w:rPr>
          <w:rFonts w:ascii="Times New Roman" w:hAnsi="Times New Roman" w:cs="Times New Roman"/>
          <w:sz w:val="24"/>
          <w:szCs w:val="24"/>
        </w:rPr>
        <w:t xml:space="preserve"> do estado, sendo o maior em Mata de São João (R$ 1011,93), seguido de Camaçari (R$ 870,00), valores muito superiores aos arrecadados em Vitória da Conquista (R$ 165,47). Lopes, Vieira e Stein (2025) pesquisando características comuns associadas ao desempenho fiscal dos municípios baianos, buscando estabelecer um comportamento tributário a partir da influência de transferências intergovernamentais sobre o esforço de arrecadação, classificam Vitória da Conquista em um cluster com desempenho mediano na arrecadação dos impostos municipais e um baixo volume de transferências recebidas. Uma característica destacada desse cluster é a presença de municípios que exercem forte influência em suas regiões de articulação. </w:t>
      </w:r>
    </w:p>
    <w:p w14:paraId="3BA17E22" w14:textId="77777777" w:rsidR="00AD3A74" w:rsidRDefault="00AD3A74" w:rsidP="00AD3A74">
      <w:pPr>
        <w:pStyle w:val="Recuodecorpodetexto"/>
        <w:tabs>
          <w:tab w:val="left" w:pos="567"/>
        </w:tabs>
        <w:spacing w:after="0" w:line="360" w:lineRule="auto"/>
        <w:ind w:left="0"/>
        <w:jc w:val="both"/>
        <w:rPr>
          <w:rFonts w:ascii="Times New Roman" w:hAnsi="Times New Roman" w:cs="Times New Roman"/>
          <w:sz w:val="24"/>
          <w:szCs w:val="24"/>
        </w:rPr>
      </w:pPr>
      <w:r w:rsidRPr="00AD3A74">
        <w:rPr>
          <w:rFonts w:ascii="Times New Roman" w:hAnsi="Times New Roman" w:cs="Times New Roman"/>
          <w:sz w:val="24"/>
          <w:szCs w:val="24"/>
        </w:rPr>
        <w:tab/>
      </w:r>
      <w:r w:rsidRPr="00AD3A74">
        <w:rPr>
          <w:rFonts w:ascii="Times New Roman" w:hAnsi="Times New Roman" w:cs="Times New Roman"/>
          <w:sz w:val="24"/>
          <w:szCs w:val="24"/>
        </w:rPr>
        <w:tab/>
        <w:t xml:space="preserve">Considerando o critério de rateio do FPM, que privilegia os municípios menos populosos, a cidade de Vitória da Conquista está entre as que menos recebem transferências per capita do FPM. Por outro lado, como uma proxy da capacidade de gerar receita oriunda da atividade econômica local, a arrecadação per capita das transferências derivadas (ou seja, devolutivas da arrecadação estadual no município) do Imposto sobre Circulação de Mercadorias (ICMS) e do Imposto sobre a Propriedade </w:t>
      </w:r>
      <w:r w:rsidRPr="00AD3A74">
        <w:rPr>
          <w:rFonts w:ascii="Times New Roman" w:hAnsi="Times New Roman" w:cs="Times New Roman"/>
          <w:sz w:val="24"/>
          <w:szCs w:val="24"/>
        </w:rPr>
        <w:lastRenderedPageBreak/>
        <w:t xml:space="preserve">de Veículos Automotores (IPVA) foi de 648 reais. Em 2024 a arrecadação estadual desses impostos no município foi de 1,035 bilhão de reais. (SEFAZ, 2025). </w:t>
      </w:r>
    </w:p>
    <w:p w14:paraId="3A1F8867" w14:textId="4849451C" w:rsidR="00251077" w:rsidRPr="00251077" w:rsidRDefault="00EE44BD" w:rsidP="00251077">
      <w:pPr>
        <w:pStyle w:val="Recuodecorpodetexto"/>
        <w:tabs>
          <w:tab w:val="left" w:pos="567"/>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251077">
        <w:rPr>
          <w:rFonts w:ascii="Times New Roman" w:hAnsi="Times New Roman" w:cs="Times New Roman"/>
          <w:sz w:val="24"/>
          <w:szCs w:val="24"/>
        </w:rPr>
        <w:t xml:space="preserve">As </w:t>
      </w:r>
      <w:r w:rsidR="00251077" w:rsidRPr="00251077">
        <w:rPr>
          <w:rFonts w:ascii="Times New Roman" w:hAnsi="Times New Roman" w:cs="Times New Roman"/>
          <w:sz w:val="24"/>
          <w:szCs w:val="24"/>
        </w:rPr>
        <w:t>transferências utilizadas nesse estudo como base de comparação para estimar o desempenho arrecadatório dos municípios, são duas. Uma tem por base a capacidade fiscal do município de gerar receitas para a prefeitura, que é o caso do ICMS, cujas receitas para o município decorrem de transferências decorrentes da arrecadação no próprio município. O ICMS é uma transferência devolutiva, que não tem por base, em geral, o caráter distributivo (implícito nas transferências baseadas em fórmula de partilha). É uma transferência derivada de uma arrecadação prévia, e está associada à dinâmica de arrecadação sobre a circulação de bens e serviços nos municípios, portanto, dependente da dinâmica econômica do município. A transferência para o município é, predominantemente, proporcional à contribuição de sua base tributária para a arrecadação do imposto estadual</w:t>
      </w:r>
      <w:r w:rsidR="00251077">
        <w:rPr>
          <w:rFonts w:ascii="Times New Roman" w:hAnsi="Times New Roman" w:cs="Times New Roman"/>
          <w:sz w:val="24"/>
          <w:szCs w:val="24"/>
        </w:rPr>
        <w:t>.</w:t>
      </w:r>
    </w:p>
    <w:p w14:paraId="7B5C831F" w14:textId="1899F2F3" w:rsidR="00251077" w:rsidRPr="00251077" w:rsidRDefault="00251077" w:rsidP="00251077">
      <w:pPr>
        <w:spacing w:line="360" w:lineRule="auto"/>
        <w:ind w:firstLine="709"/>
        <w:jc w:val="both"/>
        <w:rPr>
          <w:rFonts w:ascii="Times New Roman" w:hAnsi="Times New Roman" w:cs="Times New Roman"/>
          <w:sz w:val="24"/>
          <w:szCs w:val="24"/>
        </w:rPr>
      </w:pPr>
      <w:r w:rsidRPr="00251077">
        <w:rPr>
          <w:rFonts w:ascii="Times New Roman" w:hAnsi="Times New Roman" w:cs="Times New Roman"/>
          <w:sz w:val="24"/>
          <w:szCs w:val="24"/>
        </w:rPr>
        <w:t xml:space="preserve">Por outro lado, as transferências do FPM não estão relacionadas à capacidade do município de gerar recitas fiscais. Vieira, Abrantes e Almeida (2020) destacam que o FPM é um instrumento de partilha de recursos, haja vista a relação inversa entre repasse e nível de desenvolvimento socioeconômico do município. Ou seja, </w:t>
      </w:r>
      <w:proofErr w:type="gramStart"/>
      <w:r w:rsidRPr="00251077">
        <w:rPr>
          <w:rFonts w:ascii="Times New Roman" w:hAnsi="Times New Roman" w:cs="Times New Roman"/>
          <w:sz w:val="24"/>
          <w:szCs w:val="24"/>
        </w:rPr>
        <w:t>influencia</w:t>
      </w:r>
      <w:proofErr w:type="gramEnd"/>
      <w:r w:rsidRPr="00251077">
        <w:rPr>
          <w:rFonts w:ascii="Times New Roman" w:hAnsi="Times New Roman" w:cs="Times New Roman"/>
          <w:sz w:val="24"/>
          <w:szCs w:val="24"/>
        </w:rPr>
        <w:t xml:space="preserve"> mais positivamente quanto menos desenvolvido for o município. Por um lado, se esse critério de repartição contribui para redução de assimetrias regionais, por outro, propicia o uso político dessa vantagem com o desestímulo arrecadatório. Pelo fato de ser uma transferência incondicional e sem contrapartida, acaba sendo mais suscetível às distorções geradas pelos modelos de descentralização fiscal, como captura e a preguiça fiscal dos governos locais. </w:t>
      </w:r>
    </w:p>
    <w:p w14:paraId="7E8B0E60" w14:textId="5184BCEA" w:rsidR="00C4692F" w:rsidRPr="00C4692F" w:rsidRDefault="00C4692F" w:rsidP="00251077">
      <w:pPr>
        <w:pStyle w:val="Recuodecorpodetexto"/>
        <w:tabs>
          <w:tab w:val="left" w:pos="567"/>
        </w:tabs>
        <w:spacing w:before="240" w:after="240" w:line="360" w:lineRule="auto"/>
        <w:ind w:left="0"/>
        <w:jc w:val="both"/>
        <w:rPr>
          <w:rFonts w:ascii="Times New Roman" w:hAnsi="Times New Roman" w:cs="Times New Roman"/>
          <w:b/>
          <w:bCs/>
          <w:sz w:val="24"/>
          <w:szCs w:val="24"/>
        </w:rPr>
      </w:pPr>
      <w:r w:rsidRPr="00C4692F">
        <w:rPr>
          <w:rFonts w:ascii="Times New Roman" w:hAnsi="Times New Roman" w:cs="Times New Roman"/>
          <w:b/>
          <w:bCs/>
          <w:sz w:val="24"/>
          <w:szCs w:val="24"/>
        </w:rPr>
        <w:t>3.1. Aspectos políticos</w:t>
      </w:r>
    </w:p>
    <w:p w14:paraId="1A9BCEAA" w14:textId="77777777" w:rsidR="00C4692F" w:rsidRPr="00C4692F" w:rsidRDefault="00C4692F" w:rsidP="00C4692F">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26FE5">
        <w:rPr>
          <w:rFonts w:ascii="Times New Roman" w:hAnsi="Times New Roman" w:cs="Times New Roman"/>
          <w:sz w:val="24"/>
          <w:szCs w:val="24"/>
        </w:rPr>
        <w:t>Vitória da Conquista e, especialmente, seu entorno apresentam instituições em geral de baixa qualidade, e isto explica parte das baixas taxas de desenvolvimento econômico e social da região. As instituições atuais ainda refletem características associadas à estrutura produtiva e de governança burocrática do período da colonização. Além da qualidade das instituições, a atenção do governo central voltada para os objetivos</w:t>
      </w:r>
      <w:r w:rsidRPr="00C4692F">
        <w:rPr>
          <w:rFonts w:ascii="Times New Roman" w:hAnsi="Times New Roman" w:cs="Times New Roman"/>
          <w:sz w:val="24"/>
          <w:szCs w:val="24"/>
        </w:rPr>
        <w:t xml:space="preserve"> da política macroeconômica deixa um vácuo de políticas regionais ficando o semiárido baiano dependente de políticas assistenciais como condição de sobrevivência para boa parte de sua população. </w:t>
      </w:r>
    </w:p>
    <w:p w14:paraId="66540B53" w14:textId="5BF30C9A" w:rsidR="00C4692F" w:rsidRPr="00C4692F" w:rsidRDefault="00226FE5" w:rsidP="00C4692F">
      <w:pPr>
        <w:pStyle w:val="Recuodecorpodetexto"/>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 </w:t>
      </w:r>
      <w:r w:rsidR="00C4692F" w:rsidRPr="00C4692F">
        <w:rPr>
          <w:rFonts w:ascii="Times New Roman" w:hAnsi="Times New Roman" w:cs="Times New Roman"/>
          <w:sz w:val="24"/>
          <w:szCs w:val="24"/>
        </w:rPr>
        <w:t xml:space="preserve">Em Vitória da Conquista e sua região de articulação, a inércia institucional produziu, ao longo do tempo, uma regularidade de comportamento marcada pela violência política, coronelismo, corrupção institucional e individual, clientelismo e troca de favores políticos. Esta estrutura institucional garantiu a reprodução de oligarquias decadentes à medida que o coronelismo se </w:t>
      </w:r>
      <w:r w:rsidR="00C4692F" w:rsidRPr="00C4692F">
        <w:rPr>
          <w:rFonts w:ascii="Times New Roman" w:hAnsi="Times New Roman" w:cs="Times New Roman"/>
          <w:sz w:val="24"/>
          <w:szCs w:val="24"/>
        </w:rPr>
        <w:lastRenderedPageBreak/>
        <w:t xml:space="preserve">constituía como a interface entre os interesses políticos locais e os interesses políticos em escala nacional. Nesta relação, se entrelaçam e convergem interesses paroquiais com interesses de deputados e das elites dominantes em escala nacional. Nem o regime autoritário, nem a democracia eleitoral moderna com a ascensão ao poder de partidos que se opunham a esta prática política foram capazes de romper esta estrutura. Ao contrário, aliaram-se a ela. </w:t>
      </w:r>
    </w:p>
    <w:p w14:paraId="41435880" w14:textId="578D8044" w:rsidR="00C4692F" w:rsidRPr="00C4692F" w:rsidRDefault="00226FE5" w:rsidP="00C4692F">
      <w:pPr>
        <w:pStyle w:val="Recuodecorpodetexto"/>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 </w:t>
      </w:r>
      <w:r w:rsidR="00C4692F" w:rsidRPr="00C4692F">
        <w:rPr>
          <w:rFonts w:ascii="Times New Roman" w:hAnsi="Times New Roman" w:cs="Times New Roman"/>
          <w:sz w:val="24"/>
          <w:szCs w:val="24"/>
        </w:rPr>
        <w:t xml:space="preserve">Nos últimos 40 anos, as lideranças políticas de Vitória da Conquista se mantiveram em oposição às esferas superiores de governo. Esta posição das administrações municipais teve como reflexo a ausência de ação do Estado da Bahia e da União na promoção do desenvolvimento do município. Entre os anos 60 e 90, Conquista teve como grande líder político José Pedral, um dos principais opositores ao Carlismo na Bahia. No início dos anos 90, Pedral alia se à ACM, contudo, a capacidade de intervenção do Estado já era bastante reduzida e as disputas internas entre os novos aliados do Carlismo e os antigos fazem com que esta aliança não produza nenhum benefício para a economia de Vitória da Conquista. </w:t>
      </w:r>
      <w:r w:rsidR="00251077">
        <w:rPr>
          <w:rFonts w:ascii="Times New Roman" w:hAnsi="Times New Roman" w:cs="Times New Roman"/>
          <w:sz w:val="24"/>
          <w:szCs w:val="24"/>
        </w:rPr>
        <w:t>(LOPES, 2013).</w:t>
      </w:r>
    </w:p>
    <w:p w14:paraId="4FA70F2D" w14:textId="65C88D00" w:rsidR="00C4692F" w:rsidRPr="00C4692F" w:rsidRDefault="008C686E" w:rsidP="00C4692F">
      <w:pPr>
        <w:pStyle w:val="Recuodecorpodetexto"/>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C4692F" w:rsidRPr="00C4692F">
        <w:rPr>
          <w:rFonts w:ascii="Times New Roman" w:hAnsi="Times New Roman" w:cs="Times New Roman"/>
          <w:sz w:val="24"/>
          <w:szCs w:val="24"/>
        </w:rPr>
        <w:t xml:space="preserve">Em 1996, Guilherme Menezes, do Partido dos Trabalhadores (PT), conquista a Prefeitura Municipal e, como a maioria dos governos do PT na Bahia, posiciona-se contra as esferas de governo Estadual e Federal, perpetuando a inércia destes poderes no desenvolvimento local. </w:t>
      </w:r>
    </w:p>
    <w:p w14:paraId="56FE01AB" w14:textId="59D631B5" w:rsidR="00C4692F" w:rsidRPr="00C4692F" w:rsidRDefault="008C686E" w:rsidP="00251077">
      <w:pPr>
        <w:pStyle w:val="Corpodetexto2"/>
        <w:tabs>
          <w:tab w:val="left" w:pos="0"/>
          <w:tab w:val="left" w:pos="567"/>
        </w:tabs>
        <w:spacing w:after="0" w:line="360" w:lineRule="auto"/>
        <w:jc w:val="both"/>
      </w:pPr>
      <w:r>
        <w:tab/>
        <w:t xml:space="preserve">  </w:t>
      </w:r>
      <w:r w:rsidR="00C4692F" w:rsidRPr="00C4692F">
        <w:t xml:space="preserve">Apesar do processo político atual ainda reproduzir vícios históricos, há, após 1996, uma transformação nas estruturas políticas de Vitória da Conquista que distancia o município das práticas políticas nefastas que ainda permeiam a grande maioria dos municípios brasileiros. Nesse sentido, há uma melhoria na qualidade das instituições e isso se reflete na organização e nos equipamentos públicos. </w:t>
      </w:r>
    </w:p>
    <w:p w14:paraId="6992F288" w14:textId="74E7C0AC" w:rsidR="00C4692F" w:rsidRPr="00C4692F" w:rsidRDefault="00226FE5" w:rsidP="00251077">
      <w:pPr>
        <w:pStyle w:val="Corpodetexto2"/>
        <w:tabs>
          <w:tab w:val="left" w:pos="0"/>
          <w:tab w:val="left" w:pos="567"/>
        </w:tabs>
        <w:spacing w:after="0" w:line="360" w:lineRule="auto"/>
        <w:jc w:val="both"/>
      </w:pPr>
      <w:r>
        <w:tab/>
        <w:t xml:space="preserve"> </w:t>
      </w:r>
      <w:r w:rsidR="00C4692F" w:rsidRPr="00C4692F">
        <w:t>Apesar de ser um município de médio porte, as receitas da prefeitura, semelhante ao que ocorre com a grande maioria dos municípios do nordeste brasileiro, têm forte dependência das transferências constitucionais dos Governos Federal e Estadual. Ou seja, tem uma dinâmica pró-cíclica.</w:t>
      </w:r>
    </w:p>
    <w:p w14:paraId="72F63A13" w14:textId="456F3D72" w:rsidR="00C4692F" w:rsidRPr="00AD3A74" w:rsidRDefault="00C4692F" w:rsidP="00AD3A74">
      <w:pPr>
        <w:pStyle w:val="Recuodecorpodetexto"/>
        <w:tabs>
          <w:tab w:val="left" w:pos="567"/>
        </w:tabs>
        <w:spacing w:after="0" w:line="360" w:lineRule="auto"/>
        <w:ind w:left="0"/>
        <w:jc w:val="both"/>
        <w:rPr>
          <w:rFonts w:ascii="Times New Roman" w:hAnsi="Times New Roman" w:cs="Times New Roman"/>
          <w:sz w:val="24"/>
          <w:szCs w:val="24"/>
        </w:rPr>
      </w:pPr>
    </w:p>
    <w:p w14:paraId="2563037D" w14:textId="77777777" w:rsidR="00AD3A74" w:rsidRPr="00AD3A74" w:rsidRDefault="00AD3A74" w:rsidP="00AD3A74">
      <w:pPr>
        <w:spacing w:line="360" w:lineRule="auto"/>
        <w:jc w:val="both"/>
        <w:rPr>
          <w:rFonts w:ascii="Times New Roman" w:eastAsia="Times New Roman" w:hAnsi="Times New Roman" w:cs="Times New Roman"/>
          <w:color w:val="000000"/>
        </w:rPr>
      </w:pPr>
      <w:r w:rsidRPr="00AD3A74">
        <w:rPr>
          <w:rFonts w:ascii="Times New Roman" w:eastAsia="Times New Roman" w:hAnsi="Times New Roman" w:cs="Times New Roman"/>
          <w:color w:val="000000"/>
        </w:rPr>
        <w:t>4. METODOLOGIA E DISCUSSÃO DOS RESULTADOS</w:t>
      </w:r>
    </w:p>
    <w:p w14:paraId="5243B73B" w14:textId="77777777" w:rsidR="00AD3A74" w:rsidRPr="00AD3A74" w:rsidRDefault="00AD3A74" w:rsidP="00226FE5">
      <w:pPr>
        <w:spacing w:before="240" w:after="240" w:line="360" w:lineRule="auto"/>
        <w:jc w:val="both"/>
        <w:rPr>
          <w:rFonts w:ascii="Times New Roman" w:eastAsia="Times New Roman" w:hAnsi="Times New Roman" w:cs="Times New Roman"/>
          <w:b/>
          <w:bCs/>
          <w:color w:val="000000"/>
        </w:rPr>
      </w:pPr>
      <w:r w:rsidRPr="00AD3A74">
        <w:rPr>
          <w:rFonts w:ascii="Times New Roman" w:eastAsia="Times New Roman" w:hAnsi="Times New Roman" w:cs="Times New Roman"/>
          <w:b/>
          <w:bCs/>
          <w:color w:val="000000"/>
        </w:rPr>
        <w:t>4.1 Abordagem Metodológica</w:t>
      </w:r>
    </w:p>
    <w:p w14:paraId="4739B9F9" w14:textId="77777777" w:rsidR="00AD3A74" w:rsidRPr="00AD3A74" w:rsidRDefault="00AD3A74" w:rsidP="00AD3A74">
      <w:pPr>
        <w:spacing w:line="360" w:lineRule="auto"/>
        <w:ind w:firstLine="708"/>
        <w:jc w:val="both"/>
        <w:rPr>
          <w:rFonts w:ascii="Times New Roman" w:eastAsia="Times New Roman" w:hAnsi="Times New Roman" w:cs="Times New Roman"/>
          <w:sz w:val="24"/>
          <w:szCs w:val="24"/>
        </w:rPr>
      </w:pPr>
      <w:r w:rsidRPr="00AD3A74">
        <w:rPr>
          <w:rFonts w:ascii="Times New Roman" w:eastAsia="Times New Roman" w:hAnsi="Times New Roman" w:cs="Times New Roman"/>
          <w:sz w:val="24"/>
          <w:szCs w:val="24"/>
        </w:rPr>
        <w:t>O trabalho faz uso de estatísticas descritivas, fazendo a sistematização dos dados fiscais do município de Vitória da Conquista. As informações estatísticas referentes às finanças públicas municipais são da Secretaria do Tesouro Nacional (STN), obtidas no Sistema de Informações Contábeis e Fiscais do Setor Público Brasileiro (</w:t>
      </w:r>
      <w:proofErr w:type="spellStart"/>
      <w:r w:rsidRPr="00AD3A74">
        <w:rPr>
          <w:rFonts w:ascii="Times New Roman" w:eastAsia="Times New Roman" w:hAnsi="Times New Roman" w:cs="Times New Roman"/>
          <w:sz w:val="24"/>
          <w:szCs w:val="24"/>
        </w:rPr>
        <w:t>Siconfi</w:t>
      </w:r>
      <w:proofErr w:type="spellEnd"/>
      <w:r w:rsidRPr="00AD3A74">
        <w:rPr>
          <w:rFonts w:ascii="Times New Roman" w:eastAsia="Times New Roman" w:hAnsi="Times New Roman" w:cs="Times New Roman"/>
          <w:sz w:val="24"/>
          <w:szCs w:val="24"/>
        </w:rPr>
        <w:t xml:space="preserve">) e Finanças do Brasil (FINBRA) – Área Pública, contas anuais. As informações de população utilizadas foram as mesmas constantes das tabelas do FINBRA, tendo em vista que que são esses dados utilizados nos critérios de rateio do </w:t>
      </w:r>
      <w:r w:rsidRPr="00AD3A74">
        <w:rPr>
          <w:rFonts w:ascii="Times New Roman" w:eastAsia="Times New Roman" w:hAnsi="Times New Roman" w:cs="Times New Roman"/>
          <w:sz w:val="24"/>
          <w:szCs w:val="24"/>
        </w:rPr>
        <w:lastRenderedPageBreak/>
        <w:t>Fundo de Participação dos Municípios – FPM. Para algumas simulações foram utilizados os dados de população disponíveis no Instituto Brasileiro de Geografia e Estatísticas (IBGE).</w:t>
      </w:r>
    </w:p>
    <w:p w14:paraId="0CA06C69" w14:textId="77777777" w:rsidR="00AD3A74" w:rsidRPr="00AD3A74" w:rsidRDefault="00AD3A74" w:rsidP="00AD3A74">
      <w:pPr>
        <w:spacing w:line="360" w:lineRule="auto"/>
        <w:jc w:val="both"/>
        <w:rPr>
          <w:rFonts w:ascii="Times New Roman" w:eastAsia="Times New Roman" w:hAnsi="Times New Roman" w:cs="Times New Roman"/>
          <w:sz w:val="24"/>
          <w:szCs w:val="24"/>
        </w:rPr>
      </w:pPr>
      <w:r w:rsidRPr="00AD3A74">
        <w:rPr>
          <w:rFonts w:ascii="Times New Roman" w:eastAsia="Times New Roman" w:hAnsi="Times New Roman" w:cs="Times New Roman"/>
          <w:sz w:val="24"/>
          <w:szCs w:val="24"/>
        </w:rPr>
        <w:tab/>
        <w:t xml:space="preserve">Os valores disponibilizados pelo </w:t>
      </w:r>
      <w:proofErr w:type="spellStart"/>
      <w:r w:rsidRPr="00AD3A74">
        <w:rPr>
          <w:rFonts w:ascii="Times New Roman" w:eastAsia="Times New Roman" w:hAnsi="Times New Roman" w:cs="Times New Roman"/>
          <w:sz w:val="24"/>
          <w:szCs w:val="24"/>
        </w:rPr>
        <w:t>Siconfi</w:t>
      </w:r>
      <w:proofErr w:type="spellEnd"/>
      <w:r w:rsidRPr="00AD3A74">
        <w:rPr>
          <w:rFonts w:ascii="Times New Roman" w:eastAsia="Times New Roman" w:hAnsi="Times New Roman" w:cs="Times New Roman"/>
          <w:sz w:val="24"/>
          <w:szCs w:val="24"/>
        </w:rPr>
        <w:t xml:space="preserve"> são os valores brutos das receitas, para as análises esses dados foram transformados em valores per capita para facilitar a comparação. Para a transformação dos dados de análise em valores per capita foram utilizados dados populacionais do das tabelas </w:t>
      </w:r>
      <w:proofErr w:type="spellStart"/>
      <w:r w:rsidRPr="00AD3A74">
        <w:rPr>
          <w:rFonts w:ascii="Times New Roman" w:eastAsia="Times New Roman" w:hAnsi="Times New Roman" w:cs="Times New Roman"/>
          <w:sz w:val="24"/>
          <w:szCs w:val="24"/>
        </w:rPr>
        <w:t>Finbra</w:t>
      </w:r>
      <w:proofErr w:type="spellEnd"/>
      <w:r w:rsidRPr="00AD3A74">
        <w:rPr>
          <w:rFonts w:ascii="Times New Roman" w:eastAsia="Times New Roman" w:hAnsi="Times New Roman" w:cs="Times New Roman"/>
          <w:sz w:val="24"/>
          <w:szCs w:val="24"/>
        </w:rPr>
        <w:t xml:space="preserve"> e do IBGE. A análise compreende o desempenho fiscal de 3 (três) mandatos de prefeitos do município de Vitória da Conquista, entre 2013 e 2024, ou seja, dos mandatos de Guilherme Menezes (PT), </w:t>
      </w:r>
      <w:proofErr w:type="spellStart"/>
      <w:r w:rsidRPr="00AD3A74">
        <w:rPr>
          <w:rFonts w:ascii="Times New Roman" w:eastAsia="Times New Roman" w:hAnsi="Times New Roman" w:cs="Times New Roman"/>
          <w:sz w:val="24"/>
          <w:szCs w:val="24"/>
        </w:rPr>
        <w:t>Herzem</w:t>
      </w:r>
      <w:proofErr w:type="spellEnd"/>
      <w:r w:rsidRPr="00AD3A74">
        <w:rPr>
          <w:rFonts w:ascii="Times New Roman" w:eastAsia="Times New Roman" w:hAnsi="Times New Roman" w:cs="Times New Roman"/>
          <w:sz w:val="24"/>
          <w:szCs w:val="24"/>
        </w:rPr>
        <w:t xml:space="preserve"> Gusmão (PMDB) e Sheila Lemos (União Brasil). Os dados são anuais, de modo que as variáveis analisadas contam com 12 (doze) observações.</w:t>
      </w:r>
    </w:p>
    <w:p w14:paraId="016BC1A7" w14:textId="77777777" w:rsidR="00AD3A74" w:rsidRPr="00AD3A74" w:rsidRDefault="00AD3A74" w:rsidP="00AD3A74">
      <w:pPr>
        <w:spacing w:line="360" w:lineRule="auto"/>
        <w:jc w:val="both"/>
        <w:rPr>
          <w:rFonts w:ascii="Times New Roman" w:eastAsia="Times New Roman" w:hAnsi="Times New Roman" w:cs="Times New Roman"/>
          <w:sz w:val="24"/>
          <w:szCs w:val="24"/>
        </w:rPr>
      </w:pPr>
      <w:r w:rsidRPr="00AD3A74">
        <w:rPr>
          <w:rFonts w:ascii="Times New Roman" w:eastAsia="Times New Roman" w:hAnsi="Times New Roman" w:cs="Times New Roman"/>
          <w:sz w:val="24"/>
          <w:szCs w:val="24"/>
        </w:rPr>
        <w:tab/>
        <w:t xml:space="preserve">Além do IPTU per capita, o estudo utiliza dados das transferências do Fundo de Participação dos Municípios (FPM) e da cota parte do Imposto sobre Circulação de Mercadorias e Serviços (ICMS). O FPM pode ser utilizado como proxy do crescimento da economia brasileira, tendo em vista que ela deriva das arrecadações do Imposto de Renda e do Imposto sobre Produtos industrializados, dois impostos que refletem o desempenho da economia do Brasil. O ICMS é utilizado como proxy do dinamismo da economia local, já que boa parte dessa transferência é devolutiva, ou seja, tem como base da transferência o município em que foi arrecadado. Se arrecada mais ICMS, significa que a economia aumentou o dinamismo. Tanto o FPM quanto o ICMS serão analisados em termos per capita. </w:t>
      </w:r>
    </w:p>
    <w:p w14:paraId="1DF0DE6A" w14:textId="77777777" w:rsidR="00AD3A74" w:rsidRPr="00AD3A74" w:rsidRDefault="00AD3A74" w:rsidP="00AD3A74">
      <w:pPr>
        <w:spacing w:line="360" w:lineRule="auto"/>
        <w:ind w:firstLine="708"/>
        <w:jc w:val="both"/>
        <w:rPr>
          <w:rFonts w:ascii="Times New Roman" w:eastAsia="Times New Roman" w:hAnsi="Times New Roman" w:cs="Times New Roman"/>
          <w:sz w:val="24"/>
          <w:szCs w:val="24"/>
        </w:rPr>
      </w:pPr>
      <w:r w:rsidRPr="00AD3A74">
        <w:rPr>
          <w:rFonts w:ascii="Times New Roman" w:eastAsia="Times New Roman" w:hAnsi="Times New Roman" w:cs="Times New Roman"/>
          <w:sz w:val="24"/>
          <w:szCs w:val="24"/>
        </w:rPr>
        <w:t xml:space="preserve">A intenção aqui é observar como a arrecadação do IPTU evolui pari passu com as receitas dessas importantes subvenções fiscais. Se a arrecadação do IPTU per capita </w:t>
      </w:r>
      <w:proofErr w:type="gramStart"/>
      <w:r w:rsidRPr="00AD3A74">
        <w:rPr>
          <w:rFonts w:ascii="Times New Roman" w:eastAsia="Times New Roman" w:hAnsi="Times New Roman" w:cs="Times New Roman"/>
          <w:sz w:val="24"/>
          <w:szCs w:val="24"/>
        </w:rPr>
        <w:t>mantiver a mesma</w:t>
      </w:r>
      <w:proofErr w:type="gramEnd"/>
      <w:r w:rsidRPr="00AD3A74">
        <w:rPr>
          <w:rFonts w:ascii="Times New Roman" w:eastAsia="Times New Roman" w:hAnsi="Times New Roman" w:cs="Times New Roman"/>
          <w:sz w:val="24"/>
          <w:szCs w:val="24"/>
        </w:rPr>
        <w:t xml:space="preserve"> proporção ao longo do período (2013-2024) significa que não há diferenças no esforço fiscal entre os prefeitos. Se o IPTU per capita ampliar a proporção com o FPM e o ICMS, significa que houve aumento no esforço arrecadatório, já que a arrecadação cresceu acima do crescimento da economia e acima da variação dos preços. Se a proporção cair significa que a preguiça fiscal aumentou. A análise prossegue analisando a variação ano a ano, a variação real – utilizando como deflator o IPCA –, no acumulado em cada mandato e a média dos mandatos.  </w:t>
      </w:r>
    </w:p>
    <w:p w14:paraId="3C914B92" w14:textId="77777777" w:rsidR="00AD3A74" w:rsidRPr="00AD3A74" w:rsidRDefault="00AD3A74" w:rsidP="00AD3A74">
      <w:pPr>
        <w:spacing w:line="360" w:lineRule="auto"/>
        <w:ind w:firstLine="708"/>
        <w:jc w:val="both"/>
        <w:rPr>
          <w:rFonts w:ascii="Times New Roman" w:eastAsia="Times New Roman" w:hAnsi="Times New Roman" w:cs="Times New Roman"/>
          <w:sz w:val="24"/>
          <w:szCs w:val="24"/>
        </w:rPr>
      </w:pPr>
      <w:r w:rsidRPr="00AD3A74">
        <w:rPr>
          <w:rFonts w:ascii="Times New Roman" w:eastAsia="Times New Roman" w:hAnsi="Times New Roman" w:cs="Times New Roman"/>
          <w:sz w:val="24"/>
          <w:szCs w:val="24"/>
        </w:rPr>
        <w:t xml:space="preserve">Os dados do </w:t>
      </w:r>
      <w:proofErr w:type="spellStart"/>
      <w:r w:rsidRPr="00AD3A74">
        <w:rPr>
          <w:rFonts w:ascii="Times New Roman" w:eastAsia="Times New Roman" w:hAnsi="Times New Roman" w:cs="Times New Roman"/>
          <w:sz w:val="24"/>
          <w:szCs w:val="24"/>
        </w:rPr>
        <w:t>Finbra</w:t>
      </w:r>
      <w:proofErr w:type="spellEnd"/>
      <w:r w:rsidRPr="00AD3A74">
        <w:rPr>
          <w:rFonts w:ascii="Times New Roman" w:eastAsia="Times New Roman" w:hAnsi="Times New Roman" w:cs="Times New Roman"/>
          <w:sz w:val="24"/>
          <w:szCs w:val="24"/>
        </w:rPr>
        <w:t xml:space="preserve"> referem-se à arrecadação do IPTU que pode ser dos valores cobrados do exercício em questão ou podem ser decorrentes do pagamento de valores da Dívida Ativa – exercícios anteriores. Mesmo que os valores se referem à cobrança de dívidas de outros anos não deixa de representar um esforço arrecadatório. A dificuldade de obter informações com esse nível de detalhamento para todo o período levou a uma analisar apenas dos valores arrecadados para o IPTU sem distinção de que se esses valores </w:t>
      </w:r>
      <w:proofErr w:type="gramStart"/>
      <w:r w:rsidRPr="00AD3A74">
        <w:rPr>
          <w:rFonts w:ascii="Times New Roman" w:eastAsia="Times New Roman" w:hAnsi="Times New Roman" w:cs="Times New Roman"/>
          <w:sz w:val="24"/>
          <w:szCs w:val="24"/>
        </w:rPr>
        <w:t>referem-se</w:t>
      </w:r>
      <w:proofErr w:type="gramEnd"/>
      <w:r w:rsidRPr="00AD3A74">
        <w:rPr>
          <w:rFonts w:ascii="Times New Roman" w:eastAsia="Times New Roman" w:hAnsi="Times New Roman" w:cs="Times New Roman"/>
          <w:sz w:val="24"/>
          <w:szCs w:val="24"/>
        </w:rPr>
        <w:t xml:space="preserve"> ao exercício em questão ou cobrança de outros exercícios.</w:t>
      </w:r>
    </w:p>
    <w:p w14:paraId="6518F71A" w14:textId="77777777" w:rsidR="00AD3A74" w:rsidRPr="00AD3A74" w:rsidRDefault="00AD3A74" w:rsidP="00226FE5">
      <w:pPr>
        <w:spacing w:before="240" w:after="240" w:line="360" w:lineRule="auto"/>
        <w:jc w:val="both"/>
        <w:rPr>
          <w:rFonts w:ascii="Times New Roman" w:eastAsia="Times New Roman" w:hAnsi="Times New Roman" w:cs="Times New Roman"/>
          <w:b/>
          <w:sz w:val="24"/>
          <w:szCs w:val="24"/>
        </w:rPr>
      </w:pPr>
      <w:r w:rsidRPr="00AD3A74">
        <w:rPr>
          <w:rFonts w:ascii="Times New Roman" w:eastAsia="Times New Roman" w:hAnsi="Times New Roman" w:cs="Times New Roman"/>
          <w:b/>
          <w:sz w:val="24"/>
          <w:szCs w:val="24"/>
        </w:rPr>
        <w:t>4.2 Análise dos Resultados</w:t>
      </w:r>
    </w:p>
    <w:p w14:paraId="05568A5E" w14:textId="77777777" w:rsidR="00AD3A74" w:rsidRPr="00AD3A74" w:rsidRDefault="00AD3A74" w:rsidP="00AD3A74">
      <w:pPr>
        <w:spacing w:line="360" w:lineRule="auto"/>
        <w:jc w:val="both"/>
        <w:rPr>
          <w:rFonts w:ascii="Times New Roman" w:eastAsia="Times New Roman" w:hAnsi="Times New Roman" w:cs="Times New Roman"/>
          <w:sz w:val="24"/>
          <w:szCs w:val="24"/>
        </w:rPr>
      </w:pPr>
      <w:r w:rsidRPr="00AD3A74">
        <w:rPr>
          <w:rFonts w:ascii="Times New Roman" w:eastAsia="Times New Roman" w:hAnsi="Times New Roman" w:cs="Times New Roman"/>
          <w:sz w:val="24"/>
          <w:szCs w:val="24"/>
        </w:rPr>
        <w:lastRenderedPageBreak/>
        <w:tab/>
        <w:t xml:space="preserve">Os resultados mostram um aumento da arrecadação per capita do IPTU, tanto em termos nominais quanto em termos reais, haja vista que a arrecadação do IPTU como proporção do FPM e do ICMS cresce ao longo do período, enquanto a relação ICMS/FPM não oscila muito. O FPM é uma transferência pró cíclica, refletindo o crescimento da economia nacional e o ICMS é uma transferência devolutiva (derivada da arrecadação no município) refletindo o dinamismo da economia local. Assim, a relação ICMS/FPM reflete o quanto a economia local desloca da dinâmica da economia nacional. Como essa relação não se altera muito no período analisado, é possível inferir que o crescimento da economia local não destoa muito do crescimento da economia nacional. </w:t>
      </w:r>
    </w:p>
    <w:p w14:paraId="6406E4E1" w14:textId="77777777" w:rsidR="00AD3A74" w:rsidRPr="00AD3A74" w:rsidRDefault="00AD3A74" w:rsidP="00AD3A74">
      <w:pPr>
        <w:spacing w:line="360" w:lineRule="auto"/>
        <w:jc w:val="both"/>
        <w:rPr>
          <w:rFonts w:ascii="Times New Roman" w:eastAsia="Times New Roman" w:hAnsi="Times New Roman" w:cs="Times New Roman"/>
          <w:sz w:val="24"/>
          <w:szCs w:val="24"/>
        </w:rPr>
      </w:pPr>
      <w:r w:rsidRPr="00AD3A74">
        <w:rPr>
          <w:rFonts w:ascii="Times New Roman" w:eastAsia="Times New Roman" w:hAnsi="Times New Roman" w:cs="Times New Roman"/>
          <w:sz w:val="24"/>
          <w:szCs w:val="24"/>
        </w:rPr>
        <w:tab/>
        <w:t xml:space="preserve">Dito isto, como a relação IPTU/FPM e a relação IPTU/ICMS é crescente ao longo de todo o período, deduz-se que há um crescimento real da arrecadação do IPTU ao longo do período. </w:t>
      </w:r>
    </w:p>
    <w:p w14:paraId="7787766F" w14:textId="77777777" w:rsidR="00AD3A74" w:rsidRPr="00AD3A74" w:rsidRDefault="00AD3A74" w:rsidP="00AD3A74">
      <w:pPr>
        <w:spacing w:line="360" w:lineRule="auto"/>
        <w:jc w:val="both"/>
        <w:rPr>
          <w:rFonts w:ascii="Times New Roman" w:eastAsia="Times New Roman" w:hAnsi="Times New Roman" w:cs="Times New Roman"/>
        </w:rPr>
      </w:pPr>
    </w:p>
    <w:p w14:paraId="22D77357" w14:textId="7D9E9BEB" w:rsidR="00AD3A74" w:rsidRPr="00AD3A74" w:rsidRDefault="00AD3A74" w:rsidP="00AD3A74">
      <w:pPr>
        <w:spacing w:line="360" w:lineRule="auto"/>
        <w:jc w:val="both"/>
        <w:rPr>
          <w:rFonts w:ascii="Times New Roman" w:eastAsia="Times New Roman" w:hAnsi="Times New Roman" w:cs="Times New Roman"/>
        </w:rPr>
      </w:pPr>
      <w:r w:rsidRPr="00226FE5">
        <w:rPr>
          <w:rFonts w:ascii="Times New Roman" w:eastAsia="Times New Roman" w:hAnsi="Times New Roman" w:cs="Times New Roman"/>
          <w:b/>
          <w:bCs/>
        </w:rPr>
        <w:t>T</w:t>
      </w:r>
      <w:r w:rsidR="00226FE5" w:rsidRPr="00226FE5">
        <w:rPr>
          <w:rFonts w:ascii="Times New Roman" w:eastAsia="Times New Roman" w:hAnsi="Times New Roman" w:cs="Times New Roman"/>
          <w:b/>
          <w:bCs/>
        </w:rPr>
        <w:t>abela</w:t>
      </w:r>
      <w:r w:rsidRPr="00226FE5">
        <w:rPr>
          <w:rFonts w:ascii="Times New Roman" w:eastAsia="Times New Roman" w:hAnsi="Times New Roman" w:cs="Times New Roman"/>
          <w:b/>
          <w:bCs/>
        </w:rPr>
        <w:t xml:space="preserve"> 1 – Valores (R$) per capita do IPTU, FPM e ICMS e relações entre o imposto e as transferências – 2013-2024</w:t>
      </w:r>
      <w:r w:rsidRPr="00AD3A74">
        <w:rPr>
          <w:rFonts w:ascii="Times New Roman" w:eastAsia="Times New Roman" w:hAnsi="Times New Roman" w:cs="Times New Roman"/>
        </w:rPr>
        <w:t>.</w:t>
      </w:r>
    </w:p>
    <w:tbl>
      <w:tblPr>
        <w:tblStyle w:val="Style10"/>
        <w:tblW w:w="9417" w:type="dxa"/>
        <w:tblInd w:w="0" w:type="dxa"/>
        <w:tblLayout w:type="fixed"/>
        <w:tblLook w:val="04A0" w:firstRow="1" w:lastRow="0" w:firstColumn="1" w:lastColumn="0" w:noHBand="0" w:noVBand="1"/>
      </w:tblPr>
      <w:tblGrid>
        <w:gridCol w:w="960"/>
        <w:gridCol w:w="1308"/>
        <w:gridCol w:w="1181"/>
        <w:gridCol w:w="1134"/>
        <w:gridCol w:w="1087"/>
        <w:gridCol w:w="1132"/>
        <w:gridCol w:w="1339"/>
        <w:gridCol w:w="1276"/>
      </w:tblGrid>
      <w:tr w:rsidR="00AD3A74" w:rsidRPr="00AD3A74" w14:paraId="445604D3" w14:textId="77777777" w:rsidTr="00226FE5">
        <w:trPr>
          <w:trHeight w:val="300"/>
        </w:trPr>
        <w:tc>
          <w:tcPr>
            <w:tcW w:w="960" w:type="dxa"/>
            <w:vMerge w:val="restart"/>
            <w:tcBorders>
              <w:top w:val="single" w:sz="4" w:space="0" w:color="000000"/>
              <w:left w:val="nil"/>
              <w:bottom w:val="single" w:sz="4" w:space="0" w:color="000000"/>
              <w:right w:val="single" w:sz="4" w:space="0" w:color="000000"/>
            </w:tcBorders>
            <w:shd w:val="clear" w:color="auto" w:fill="FFF2CC"/>
            <w:vAlign w:val="bottom"/>
          </w:tcPr>
          <w:p w14:paraId="3E70A38D" w14:textId="77777777" w:rsidR="00AD3A74" w:rsidRPr="00AD3A74" w:rsidRDefault="00AD3A74" w:rsidP="00671F58">
            <w:pPr>
              <w:jc w:val="center"/>
              <w:rPr>
                <w:color w:val="000000"/>
                <w:sz w:val="22"/>
                <w:szCs w:val="22"/>
              </w:rPr>
            </w:pPr>
            <w:r w:rsidRPr="00AD3A74">
              <w:rPr>
                <w:color w:val="000000"/>
                <w:sz w:val="22"/>
                <w:szCs w:val="22"/>
              </w:rPr>
              <w:t>ANO</w:t>
            </w:r>
          </w:p>
        </w:tc>
        <w:tc>
          <w:tcPr>
            <w:tcW w:w="1308" w:type="dxa"/>
            <w:vMerge w:val="restart"/>
            <w:tcBorders>
              <w:top w:val="single" w:sz="4" w:space="0" w:color="000000"/>
              <w:left w:val="single" w:sz="4" w:space="0" w:color="000000"/>
              <w:bottom w:val="single" w:sz="4" w:space="0" w:color="000000"/>
              <w:right w:val="single" w:sz="4" w:space="0" w:color="000000"/>
            </w:tcBorders>
            <w:shd w:val="clear" w:color="auto" w:fill="FFF2CC"/>
            <w:vAlign w:val="bottom"/>
          </w:tcPr>
          <w:p w14:paraId="023F34FD" w14:textId="77777777" w:rsidR="00AD3A74" w:rsidRPr="00AD3A74" w:rsidRDefault="00AD3A74" w:rsidP="00671F58">
            <w:pPr>
              <w:jc w:val="center"/>
              <w:rPr>
                <w:color w:val="000000"/>
                <w:sz w:val="22"/>
                <w:szCs w:val="22"/>
              </w:rPr>
            </w:pPr>
            <w:r w:rsidRPr="00AD3A74">
              <w:rPr>
                <w:color w:val="000000"/>
                <w:sz w:val="22"/>
                <w:szCs w:val="22"/>
              </w:rPr>
              <w:t>População</w:t>
            </w:r>
          </w:p>
        </w:tc>
        <w:tc>
          <w:tcPr>
            <w:tcW w:w="3402" w:type="dxa"/>
            <w:gridSpan w:val="3"/>
            <w:tcBorders>
              <w:top w:val="single" w:sz="4" w:space="0" w:color="000000"/>
              <w:left w:val="nil"/>
              <w:bottom w:val="single" w:sz="4" w:space="0" w:color="000000"/>
              <w:right w:val="single" w:sz="4" w:space="0" w:color="000000"/>
            </w:tcBorders>
            <w:shd w:val="clear" w:color="auto" w:fill="FFF2CC"/>
            <w:vAlign w:val="bottom"/>
          </w:tcPr>
          <w:p w14:paraId="4DE07C71" w14:textId="77777777" w:rsidR="00AD3A74" w:rsidRPr="00AD3A74" w:rsidRDefault="00AD3A74" w:rsidP="00671F58">
            <w:pPr>
              <w:jc w:val="center"/>
              <w:rPr>
                <w:color w:val="000000"/>
                <w:sz w:val="22"/>
                <w:szCs w:val="22"/>
              </w:rPr>
            </w:pPr>
            <w:r w:rsidRPr="00AD3A74">
              <w:rPr>
                <w:color w:val="000000"/>
                <w:sz w:val="22"/>
                <w:szCs w:val="22"/>
              </w:rPr>
              <w:t>Valores per capita R$</w:t>
            </w:r>
          </w:p>
        </w:tc>
        <w:tc>
          <w:tcPr>
            <w:tcW w:w="3747" w:type="dxa"/>
            <w:gridSpan w:val="3"/>
            <w:tcBorders>
              <w:top w:val="single" w:sz="4" w:space="0" w:color="000000"/>
              <w:left w:val="nil"/>
              <w:bottom w:val="single" w:sz="4" w:space="0" w:color="000000"/>
              <w:right w:val="single" w:sz="4" w:space="0" w:color="000000"/>
            </w:tcBorders>
            <w:shd w:val="clear" w:color="auto" w:fill="FFF2CC"/>
            <w:vAlign w:val="bottom"/>
          </w:tcPr>
          <w:p w14:paraId="3812CD2D" w14:textId="77777777" w:rsidR="00AD3A74" w:rsidRPr="00AD3A74" w:rsidRDefault="00AD3A74" w:rsidP="00671F58">
            <w:pPr>
              <w:jc w:val="center"/>
              <w:rPr>
                <w:color w:val="000000"/>
                <w:sz w:val="22"/>
                <w:szCs w:val="22"/>
              </w:rPr>
            </w:pPr>
            <w:r w:rsidRPr="00AD3A74">
              <w:rPr>
                <w:color w:val="000000"/>
                <w:sz w:val="22"/>
                <w:szCs w:val="22"/>
              </w:rPr>
              <w:t>Relações</w:t>
            </w:r>
          </w:p>
        </w:tc>
      </w:tr>
      <w:tr w:rsidR="00AD3A74" w:rsidRPr="00AD3A74" w14:paraId="5ABE6ED2" w14:textId="77777777" w:rsidTr="00226FE5">
        <w:trPr>
          <w:trHeight w:val="300"/>
        </w:trPr>
        <w:tc>
          <w:tcPr>
            <w:tcW w:w="960" w:type="dxa"/>
            <w:vMerge/>
            <w:tcBorders>
              <w:top w:val="single" w:sz="4" w:space="0" w:color="000000"/>
              <w:left w:val="nil"/>
              <w:bottom w:val="single" w:sz="4" w:space="0" w:color="000000"/>
              <w:right w:val="single" w:sz="4" w:space="0" w:color="000000"/>
            </w:tcBorders>
            <w:shd w:val="clear" w:color="auto" w:fill="FFF2CC"/>
            <w:vAlign w:val="bottom"/>
          </w:tcPr>
          <w:p w14:paraId="3303E573" w14:textId="77777777" w:rsidR="00AD3A74" w:rsidRPr="00AD3A74" w:rsidRDefault="00AD3A74" w:rsidP="00671F58">
            <w:pPr>
              <w:widowControl w:val="0"/>
              <w:spacing w:line="276" w:lineRule="auto"/>
              <w:rPr>
                <w:color w:val="000000"/>
                <w:sz w:val="22"/>
                <w:szCs w:val="22"/>
              </w:rPr>
            </w:pPr>
          </w:p>
        </w:tc>
        <w:tc>
          <w:tcPr>
            <w:tcW w:w="1308" w:type="dxa"/>
            <w:vMerge/>
            <w:tcBorders>
              <w:top w:val="single" w:sz="4" w:space="0" w:color="000000"/>
              <w:left w:val="single" w:sz="4" w:space="0" w:color="000000"/>
              <w:bottom w:val="single" w:sz="4" w:space="0" w:color="000000"/>
              <w:right w:val="single" w:sz="4" w:space="0" w:color="000000"/>
            </w:tcBorders>
            <w:shd w:val="clear" w:color="auto" w:fill="FFF2CC"/>
            <w:vAlign w:val="bottom"/>
          </w:tcPr>
          <w:p w14:paraId="37863B9A" w14:textId="77777777" w:rsidR="00AD3A74" w:rsidRPr="00AD3A74" w:rsidRDefault="00AD3A74" w:rsidP="00671F58">
            <w:pPr>
              <w:widowControl w:val="0"/>
              <w:spacing w:line="276" w:lineRule="auto"/>
              <w:rPr>
                <w:color w:val="000000"/>
                <w:sz w:val="22"/>
                <w:szCs w:val="22"/>
              </w:rPr>
            </w:pPr>
          </w:p>
        </w:tc>
        <w:tc>
          <w:tcPr>
            <w:tcW w:w="1181" w:type="dxa"/>
            <w:tcBorders>
              <w:top w:val="nil"/>
              <w:left w:val="nil"/>
              <w:bottom w:val="single" w:sz="4" w:space="0" w:color="000000"/>
              <w:right w:val="single" w:sz="4" w:space="0" w:color="000000"/>
            </w:tcBorders>
            <w:shd w:val="clear" w:color="auto" w:fill="FFF2CC"/>
            <w:vAlign w:val="bottom"/>
          </w:tcPr>
          <w:p w14:paraId="33A96015" w14:textId="77777777" w:rsidR="00AD3A74" w:rsidRPr="00AD3A74" w:rsidRDefault="00AD3A74" w:rsidP="00671F58">
            <w:pPr>
              <w:rPr>
                <w:color w:val="000000"/>
                <w:sz w:val="22"/>
                <w:szCs w:val="22"/>
              </w:rPr>
            </w:pPr>
            <w:r w:rsidRPr="00AD3A74">
              <w:rPr>
                <w:color w:val="000000"/>
                <w:sz w:val="22"/>
                <w:szCs w:val="22"/>
              </w:rPr>
              <w:t>IPTU</w:t>
            </w:r>
          </w:p>
        </w:tc>
        <w:tc>
          <w:tcPr>
            <w:tcW w:w="1134" w:type="dxa"/>
            <w:tcBorders>
              <w:top w:val="nil"/>
              <w:left w:val="nil"/>
              <w:bottom w:val="single" w:sz="4" w:space="0" w:color="000000"/>
              <w:right w:val="single" w:sz="4" w:space="0" w:color="000000"/>
            </w:tcBorders>
            <w:shd w:val="clear" w:color="auto" w:fill="FFF2CC"/>
            <w:vAlign w:val="bottom"/>
          </w:tcPr>
          <w:p w14:paraId="03D7D701" w14:textId="77777777" w:rsidR="00AD3A74" w:rsidRPr="00AD3A74" w:rsidRDefault="00AD3A74" w:rsidP="00671F58">
            <w:pPr>
              <w:rPr>
                <w:color w:val="000000"/>
                <w:sz w:val="22"/>
                <w:szCs w:val="22"/>
              </w:rPr>
            </w:pPr>
            <w:r w:rsidRPr="00AD3A74">
              <w:rPr>
                <w:color w:val="000000"/>
                <w:sz w:val="22"/>
                <w:szCs w:val="22"/>
              </w:rPr>
              <w:t>FPM</w:t>
            </w:r>
          </w:p>
        </w:tc>
        <w:tc>
          <w:tcPr>
            <w:tcW w:w="1087" w:type="dxa"/>
            <w:tcBorders>
              <w:top w:val="nil"/>
              <w:left w:val="nil"/>
              <w:bottom w:val="single" w:sz="4" w:space="0" w:color="000000"/>
              <w:right w:val="single" w:sz="4" w:space="0" w:color="000000"/>
            </w:tcBorders>
            <w:shd w:val="clear" w:color="auto" w:fill="FFF2CC"/>
            <w:vAlign w:val="bottom"/>
          </w:tcPr>
          <w:p w14:paraId="0A5FFEE2" w14:textId="77777777" w:rsidR="00AD3A74" w:rsidRPr="00AD3A74" w:rsidRDefault="00AD3A74" w:rsidP="00671F58">
            <w:pPr>
              <w:rPr>
                <w:color w:val="000000"/>
                <w:sz w:val="22"/>
                <w:szCs w:val="22"/>
              </w:rPr>
            </w:pPr>
            <w:r w:rsidRPr="00AD3A74">
              <w:rPr>
                <w:color w:val="000000"/>
                <w:sz w:val="22"/>
                <w:szCs w:val="22"/>
              </w:rPr>
              <w:t>ICMS</w:t>
            </w:r>
          </w:p>
        </w:tc>
        <w:tc>
          <w:tcPr>
            <w:tcW w:w="1132" w:type="dxa"/>
            <w:tcBorders>
              <w:top w:val="nil"/>
              <w:left w:val="nil"/>
              <w:bottom w:val="single" w:sz="4" w:space="0" w:color="000000"/>
              <w:right w:val="single" w:sz="4" w:space="0" w:color="000000"/>
            </w:tcBorders>
            <w:shd w:val="clear" w:color="auto" w:fill="FFF2CC"/>
            <w:vAlign w:val="bottom"/>
          </w:tcPr>
          <w:p w14:paraId="1FC1DC73" w14:textId="77777777" w:rsidR="00AD3A74" w:rsidRPr="00AD3A74" w:rsidRDefault="00AD3A74" w:rsidP="00671F58">
            <w:pPr>
              <w:rPr>
                <w:color w:val="000000"/>
                <w:sz w:val="22"/>
                <w:szCs w:val="22"/>
              </w:rPr>
            </w:pPr>
            <w:r w:rsidRPr="00AD3A74">
              <w:rPr>
                <w:color w:val="000000"/>
                <w:sz w:val="22"/>
                <w:szCs w:val="22"/>
              </w:rPr>
              <w:t>IPTU/FPM</w:t>
            </w:r>
          </w:p>
        </w:tc>
        <w:tc>
          <w:tcPr>
            <w:tcW w:w="1339" w:type="dxa"/>
            <w:tcBorders>
              <w:top w:val="nil"/>
              <w:left w:val="nil"/>
              <w:bottom w:val="single" w:sz="4" w:space="0" w:color="000000"/>
              <w:right w:val="single" w:sz="4" w:space="0" w:color="000000"/>
            </w:tcBorders>
            <w:shd w:val="clear" w:color="auto" w:fill="FFF2CC"/>
            <w:vAlign w:val="bottom"/>
          </w:tcPr>
          <w:p w14:paraId="6B32F207" w14:textId="77777777" w:rsidR="00AD3A74" w:rsidRPr="00AD3A74" w:rsidRDefault="00AD3A74" w:rsidP="00671F58">
            <w:pPr>
              <w:rPr>
                <w:color w:val="000000"/>
                <w:sz w:val="22"/>
                <w:szCs w:val="22"/>
              </w:rPr>
            </w:pPr>
            <w:r w:rsidRPr="00AD3A74">
              <w:rPr>
                <w:color w:val="000000"/>
                <w:sz w:val="22"/>
                <w:szCs w:val="22"/>
              </w:rPr>
              <w:t>IPTU/ICMS</w:t>
            </w:r>
          </w:p>
        </w:tc>
        <w:tc>
          <w:tcPr>
            <w:tcW w:w="1276" w:type="dxa"/>
            <w:tcBorders>
              <w:top w:val="nil"/>
              <w:left w:val="nil"/>
              <w:bottom w:val="single" w:sz="4" w:space="0" w:color="000000"/>
              <w:right w:val="nil"/>
            </w:tcBorders>
            <w:shd w:val="clear" w:color="auto" w:fill="FFF2CC"/>
            <w:vAlign w:val="bottom"/>
          </w:tcPr>
          <w:p w14:paraId="1C7BF6F9" w14:textId="77777777" w:rsidR="00AD3A74" w:rsidRPr="00AD3A74" w:rsidRDefault="00AD3A74" w:rsidP="00671F58">
            <w:pPr>
              <w:rPr>
                <w:color w:val="000000"/>
                <w:sz w:val="22"/>
                <w:szCs w:val="22"/>
              </w:rPr>
            </w:pPr>
            <w:r w:rsidRPr="00AD3A74">
              <w:rPr>
                <w:color w:val="000000"/>
                <w:sz w:val="22"/>
                <w:szCs w:val="22"/>
              </w:rPr>
              <w:t>ICMS/FPM</w:t>
            </w:r>
          </w:p>
        </w:tc>
      </w:tr>
      <w:tr w:rsidR="00AD3A74" w:rsidRPr="00AD3A74" w14:paraId="050D4785" w14:textId="77777777" w:rsidTr="00226FE5">
        <w:trPr>
          <w:trHeight w:val="300"/>
        </w:trPr>
        <w:tc>
          <w:tcPr>
            <w:tcW w:w="960" w:type="dxa"/>
            <w:tcBorders>
              <w:top w:val="nil"/>
              <w:left w:val="nil"/>
              <w:bottom w:val="single" w:sz="4" w:space="0" w:color="000000"/>
              <w:right w:val="single" w:sz="4" w:space="0" w:color="000000"/>
            </w:tcBorders>
            <w:shd w:val="clear" w:color="auto" w:fill="F8CBAD"/>
            <w:vAlign w:val="bottom"/>
          </w:tcPr>
          <w:p w14:paraId="56AE4940" w14:textId="77777777" w:rsidR="00AD3A74" w:rsidRPr="00AD3A74" w:rsidRDefault="00AD3A74" w:rsidP="00671F58">
            <w:pPr>
              <w:jc w:val="right"/>
              <w:rPr>
                <w:color w:val="000000"/>
                <w:sz w:val="22"/>
                <w:szCs w:val="22"/>
              </w:rPr>
            </w:pPr>
            <w:r w:rsidRPr="00AD3A74">
              <w:rPr>
                <w:color w:val="000000"/>
                <w:sz w:val="22"/>
                <w:szCs w:val="22"/>
              </w:rPr>
              <w:t>2013</w:t>
            </w:r>
          </w:p>
        </w:tc>
        <w:tc>
          <w:tcPr>
            <w:tcW w:w="1308" w:type="dxa"/>
            <w:tcBorders>
              <w:top w:val="nil"/>
              <w:left w:val="nil"/>
              <w:bottom w:val="single" w:sz="4" w:space="0" w:color="000000"/>
              <w:right w:val="single" w:sz="4" w:space="0" w:color="000000"/>
            </w:tcBorders>
            <w:shd w:val="clear" w:color="auto" w:fill="F8CBAD"/>
            <w:vAlign w:val="bottom"/>
          </w:tcPr>
          <w:p w14:paraId="773D09B8" w14:textId="77777777" w:rsidR="00AD3A74" w:rsidRPr="00AD3A74" w:rsidRDefault="00AD3A74" w:rsidP="00671F58">
            <w:pPr>
              <w:jc w:val="right"/>
              <w:rPr>
                <w:color w:val="000000"/>
                <w:sz w:val="22"/>
                <w:szCs w:val="22"/>
              </w:rPr>
            </w:pPr>
            <w:r w:rsidRPr="00AD3A74">
              <w:rPr>
                <w:color w:val="000000"/>
                <w:sz w:val="22"/>
                <w:szCs w:val="22"/>
              </w:rPr>
              <w:t>336987</w:t>
            </w:r>
          </w:p>
        </w:tc>
        <w:tc>
          <w:tcPr>
            <w:tcW w:w="1181" w:type="dxa"/>
            <w:tcBorders>
              <w:top w:val="nil"/>
              <w:left w:val="nil"/>
              <w:bottom w:val="single" w:sz="4" w:space="0" w:color="000000"/>
              <w:right w:val="single" w:sz="4" w:space="0" w:color="000000"/>
            </w:tcBorders>
            <w:shd w:val="clear" w:color="auto" w:fill="F8CBAD"/>
            <w:vAlign w:val="bottom"/>
          </w:tcPr>
          <w:p w14:paraId="7BAAC024" w14:textId="77777777" w:rsidR="00AD3A74" w:rsidRPr="00AD3A74" w:rsidRDefault="00AD3A74" w:rsidP="00671F58">
            <w:pPr>
              <w:jc w:val="right"/>
              <w:rPr>
                <w:color w:val="000000"/>
                <w:sz w:val="22"/>
                <w:szCs w:val="22"/>
              </w:rPr>
            </w:pPr>
            <w:r w:rsidRPr="00AD3A74">
              <w:rPr>
                <w:color w:val="000000"/>
                <w:sz w:val="22"/>
                <w:szCs w:val="22"/>
              </w:rPr>
              <w:t>32,40</w:t>
            </w:r>
          </w:p>
        </w:tc>
        <w:tc>
          <w:tcPr>
            <w:tcW w:w="1134" w:type="dxa"/>
            <w:tcBorders>
              <w:top w:val="nil"/>
              <w:left w:val="nil"/>
              <w:bottom w:val="single" w:sz="4" w:space="0" w:color="000000"/>
              <w:right w:val="single" w:sz="4" w:space="0" w:color="000000"/>
            </w:tcBorders>
            <w:shd w:val="clear" w:color="auto" w:fill="F8CBAD"/>
            <w:vAlign w:val="bottom"/>
          </w:tcPr>
          <w:p w14:paraId="609A1F49" w14:textId="77777777" w:rsidR="00AD3A74" w:rsidRPr="00AD3A74" w:rsidRDefault="00AD3A74" w:rsidP="00671F58">
            <w:pPr>
              <w:jc w:val="right"/>
              <w:rPr>
                <w:color w:val="000000"/>
                <w:sz w:val="22"/>
                <w:szCs w:val="22"/>
              </w:rPr>
            </w:pPr>
            <w:r w:rsidRPr="00AD3A74">
              <w:rPr>
                <w:color w:val="000000"/>
                <w:sz w:val="22"/>
                <w:szCs w:val="22"/>
              </w:rPr>
              <w:t>208,28</w:t>
            </w:r>
          </w:p>
        </w:tc>
        <w:tc>
          <w:tcPr>
            <w:tcW w:w="1087" w:type="dxa"/>
            <w:tcBorders>
              <w:top w:val="nil"/>
              <w:left w:val="nil"/>
              <w:bottom w:val="single" w:sz="4" w:space="0" w:color="000000"/>
              <w:right w:val="single" w:sz="4" w:space="0" w:color="000000"/>
            </w:tcBorders>
            <w:shd w:val="clear" w:color="auto" w:fill="F8CBAD"/>
            <w:vAlign w:val="bottom"/>
          </w:tcPr>
          <w:p w14:paraId="13AF1741" w14:textId="77777777" w:rsidR="00AD3A74" w:rsidRPr="00AD3A74" w:rsidRDefault="00AD3A74" w:rsidP="00671F58">
            <w:pPr>
              <w:jc w:val="right"/>
              <w:rPr>
                <w:color w:val="000000"/>
                <w:sz w:val="22"/>
                <w:szCs w:val="22"/>
              </w:rPr>
            </w:pPr>
            <w:r w:rsidRPr="00AD3A74">
              <w:rPr>
                <w:color w:val="000000"/>
                <w:sz w:val="22"/>
                <w:szCs w:val="22"/>
              </w:rPr>
              <w:t>191,99</w:t>
            </w:r>
          </w:p>
        </w:tc>
        <w:tc>
          <w:tcPr>
            <w:tcW w:w="1132" w:type="dxa"/>
            <w:tcBorders>
              <w:top w:val="nil"/>
              <w:left w:val="nil"/>
              <w:bottom w:val="single" w:sz="4" w:space="0" w:color="000000"/>
              <w:right w:val="single" w:sz="4" w:space="0" w:color="000000"/>
            </w:tcBorders>
            <w:shd w:val="clear" w:color="auto" w:fill="F8CBAD"/>
            <w:vAlign w:val="bottom"/>
          </w:tcPr>
          <w:p w14:paraId="3F1BC306" w14:textId="77777777" w:rsidR="00AD3A74" w:rsidRPr="00AD3A74" w:rsidRDefault="00AD3A74" w:rsidP="00671F58">
            <w:pPr>
              <w:jc w:val="right"/>
              <w:rPr>
                <w:color w:val="000000"/>
                <w:sz w:val="22"/>
                <w:szCs w:val="22"/>
              </w:rPr>
            </w:pPr>
            <w:r w:rsidRPr="00AD3A74">
              <w:rPr>
                <w:color w:val="000000"/>
                <w:sz w:val="22"/>
                <w:szCs w:val="22"/>
              </w:rPr>
              <w:t>0,16</w:t>
            </w:r>
          </w:p>
        </w:tc>
        <w:tc>
          <w:tcPr>
            <w:tcW w:w="1339" w:type="dxa"/>
            <w:tcBorders>
              <w:top w:val="nil"/>
              <w:left w:val="nil"/>
              <w:bottom w:val="single" w:sz="4" w:space="0" w:color="000000"/>
              <w:right w:val="single" w:sz="4" w:space="0" w:color="000000"/>
            </w:tcBorders>
            <w:shd w:val="clear" w:color="auto" w:fill="F8CBAD"/>
            <w:vAlign w:val="bottom"/>
          </w:tcPr>
          <w:p w14:paraId="27158FAD" w14:textId="77777777" w:rsidR="00AD3A74" w:rsidRPr="00AD3A74" w:rsidRDefault="00AD3A74" w:rsidP="00671F58">
            <w:pPr>
              <w:jc w:val="right"/>
              <w:rPr>
                <w:color w:val="000000"/>
                <w:sz w:val="22"/>
                <w:szCs w:val="22"/>
              </w:rPr>
            </w:pPr>
            <w:r w:rsidRPr="00AD3A74">
              <w:rPr>
                <w:color w:val="000000"/>
                <w:sz w:val="22"/>
                <w:szCs w:val="22"/>
              </w:rPr>
              <w:t>0,17</w:t>
            </w:r>
          </w:p>
        </w:tc>
        <w:tc>
          <w:tcPr>
            <w:tcW w:w="1276" w:type="dxa"/>
            <w:tcBorders>
              <w:top w:val="nil"/>
              <w:left w:val="nil"/>
              <w:bottom w:val="single" w:sz="4" w:space="0" w:color="000000"/>
              <w:right w:val="nil"/>
            </w:tcBorders>
            <w:shd w:val="clear" w:color="auto" w:fill="F8CBAD"/>
            <w:vAlign w:val="bottom"/>
          </w:tcPr>
          <w:p w14:paraId="0135B92B" w14:textId="77777777" w:rsidR="00AD3A74" w:rsidRPr="00AD3A74" w:rsidRDefault="00AD3A74" w:rsidP="00671F58">
            <w:pPr>
              <w:jc w:val="right"/>
              <w:rPr>
                <w:color w:val="000000"/>
                <w:sz w:val="22"/>
                <w:szCs w:val="22"/>
              </w:rPr>
            </w:pPr>
            <w:r w:rsidRPr="00AD3A74">
              <w:rPr>
                <w:color w:val="000000"/>
                <w:sz w:val="22"/>
                <w:szCs w:val="22"/>
              </w:rPr>
              <w:t>0,922</w:t>
            </w:r>
          </w:p>
        </w:tc>
      </w:tr>
      <w:tr w:rsidR="00AD3A74" w:rsidRPr="00AD3A74" w14:paraId="24B2C5EC" w14:textId="77777777" w:rsidTr="00226FE5">
        <w:trPr>
          <w:trHeight w:val="300"/>
        </w:trPr>
        <w:tc>
          <w:tcPr>
            <w:tcW w:w="960" w:type="dxa"/>
            <w:tcBorders>
              <w:top w:val="nil"/>
              <w:left w:val="nil"/>
              <w:bottom w:val="single" w:sz="4" w:space="0" w:color="000000"/>
              <w:right w:val="single" w:sz="4" w:space="0" w:color="000000"/>
            </w:tcBorders>
            <w:shd w:val="clear" w:color="auto" w:fill="F8CBAD"/>
            <w:vAlign w:val="bottom"/>
          </w:tcPr>
          <w:p w14:paraId="697D62D3" w14:textId="77777777" w:rsidR="00AD3A74" w:rsidRPr="00AD3A74" w:rsidRDefault="00AD3A74" w:rsidP="00671F58">
            <w:pPr>
              <w:jc w:val="right"/>
              <w:rPr>
                <w:color w:val="000000"/>
                <w:sz w:val="22"/>
                <w:szCs w:val="22"/>
              </w:rPr>
            </w:pPr>
            <w:r w:rsidRPr="00AD3A74">
              <w:rPr>
                <w:color w:val="000000"/>
                <w:sz w:val="22"/>
                <w:szCs w:val="22"/>
              </w:rPr>
              <w:t>2014</w:t>
            </w:r>
          </w:p>
        </w:tc>
        <w:tc>
          <w:tcPr>
            <w:tcW w:w="1308" w:type="dxa"/>
            <w:tcBorders>
              <w:top w:val="nil"/>
              <w:left w:val="nil"/>
              <w:bottom w:val="single" w:sz="4" w:space="0" w:color="000000"/>
              <w:right w:val="single" w:sz="4" w:space="0" w:color="000000"/>
            </w:tcBorders>
            <w:shd w:val="clear" w:color="auto" w:fill="F8CBAD"/>
            <w:vAlign w:val="bottom"/>
          </w:tcPr>
          <w:p w14:paraId="0A45361E" w14:textId="77777777" w:rsidR="00AD3A74" w:rsidRPr="00AD3A74" w:rsidRDefault="00AD3A74" w:rsidP="00671F58">
            <w:pPr>
              <w:jc w:val="right"/>
              <w:rPr>
                <w:color w:val="000000"/>
                <w:sz w:val="22"/>
                <w:szCs w:val="22"/>
              </w:rPr>
            </w:pPr>
            <w:r w:rsidRPr="00AD3A74">
              <w:rPr>
                <w:color w:val="000000"/>
                <w:sz w:val="22"/>
                <w:szCs w:val="22"/>
              </w:rPr>
              <w:t>340199</w:t>
            </w:r>
          </w:p>
        </w:tc>
        <w:tc>
          <w:tcPr>
            <w:tcW w:w="1181" w:type="dxa"/>
            <w:tcBorders>
              <w:top w:val="nil"/>
              <w:left w:val="nil"/>
              <w:bottom w:val="single" w:sz="4" w:space="0" w:color="000000"/>
              <w:right w:val="single" w:sz="4" w:space="0" w:color="000000"/>
            </w:tcBorders>
            <w:shd w:val="clear" w:color="auto" w:fill="F8CBAD"/>
            <w:vAlign w:val="bottom"/>
          </w:tcPr>
          <w:p w14:paraId="1C39E1FC" w14:textId="77777777" w:rsidR="00AD3A74" w:rsidRPr="00AD3A74" w:rsidRDefault="00AD3A74" w:rsidP="00671F58">
            <w:pPr>
              <w:jc w:val="right"/>
              <w:rPr>
                <w:color w:val="000000"/>
                <w:sz w:val="22"/>
                <w:szCs w:val="22"/>
              </w:rPr>
            </w:pPr>
            <w:r w:rsidRPr="00AD3A74">
              <w:rPr>
                <w:color w:val="000000"/>
                <w:sz w:val="22"/>
                <w:szCs w:val="22"/>
              </w:rPr>
              <w:t>37,15</w:t>
            </w:r>
          </w:p>
        </w:tc>
        <w:tc>
          <w:tcPr>
            <w:tcW w:w="1134" w:type="dxa"/>
            <w:tcBorders>
              <w:top w:val="nil"/>
              <w:left w:val="nil"/>
              <w:bottom w:val="single" w:sz="4" w:space="0" w:color="000000"/>
              <w:right w:val="single" w:sz="4" w:space="0" w:color="000000"/>
            </w:tcBorders>
            <w:shd w:val="clear" w:color="auto" w:fill="F8CBAD"/>
            <w:vAlign w:val="bottom"/>
          </w:tcPr>
          <w:p w14:paraId="739F4627" w14:textId="77777777" w:rsidR="00AD3A74" w:rsidRPr="00AD3A74" w:rsidRDefault="00AD3A74" w:rsidP="00671F58">
            <w:pPr>
              <w:jc w:val="right"/>
              <w:rPr>
                <w:color w:val="000000"/>
                <w:sz w:val="22"/>
                <w:szCs w:val="22"/>
              </w:rPr>
            </w:pPr>
            <w:r w:rsidRPr="00AD3A74">
              <w:rPr>
                <w:color w:val="000000"/>
                <w:sz w:val="22"/>
                <w:szCs w:val="22"/>
              </w:rPr>
              <w:t>222,61</w:t>
            </w:r>
          </w:p>
        </w:tc>
        <w:tc>
          <w:tcPr>
            <w:tcW w:w="1087" w:type="dxa"/>
            <w:tcBorders>
              <w:top w:val="nil"/>
              <w:left w:val="nil"/>
              <w:bottom w:val="single" w:sz="4" w:space="0" w:color="000000"/>
              <w:right w:val="single" w:sz="4" w:space="0" w:color="000000"/>
            </w:tcBorders>
            <w:shd w:val="clear" w:color="auto" w:fill="F8CBAD"/>
            <w:vAlign w:val="bottom"/>
          </w:tcPr>
          <w:p w14:paraId="40533C8E" w14:textId="77777777" w:rsidR="00AD3A74" w:rsidRPr="00AD3A74" w:rsidRDefault="00AD3A74" w:rsidP="00671F58">
            <w:pPr>
              <w:jc w:val="right"/>
              <w:rPr>
                <w:color w:val="000000"/>
                <w:sz w:val="22"/>
                <w:szCs w:val="22"/>
              </w:rPr>
            </w:pPr>
            <w:r w:rsidRPr="00AD3A74">
              <w:rPr>
                <w:color w:val="000000"/>
                <w:sz w:val="22"/>
                <w:szCs w:val="22"/>
              </w:rPr>
              <w:t>206,18</w:t>
            </w:r>
          </w:p>
        </w:tc>
        <w:tc>
          <w:tcPr>
            <w:tcW w:w="1132" w:type="dxa"/>
            <w:tcBorders>
              <w:top w:val="nil"/>
              <w:left w:val="nil"/>
              <w:bottom w:val="single" w:sz="4" w:space="0" w:color="000000"/>
              <w:right w:val="single" w:sz="4" w:space="0" w:color="000000"/>
            </w:tcBorders>
            <w:shd w:val="clear" w:color="auto" w:fill="F8CBAD"/>
            <w:vAlign w:val="bottom"/>
          </w:tcPr>
          <w:p w14:paraId="5446ED20" w14:textId="77777777" w:rsidR="00AD3A74" w:rsidRPr="00AD3A74" w:rsidRDefault="00AD3A74" w:rsidP="00671F58">
            <w:pPr>
              <w:jc w:val="right"/>
              <w:rPr>
                <w:color w:val="000000"/>
                <w:sz w:val="22"/>
                <w:szCs w:val="22"/>
              </w:rPr>
            </w:pPr>
            <w:r w:rsidRPr="00AD3A74">
              <w:rPr>
                <w:color w:val="000000"/>
                <w:sz w:val="22"/>
                <w:szCs w:val="22"/>
              </w:rPr>
              <w:t>0,17</w:t>
            </w:r>
          </w:p>
        </w:tc>
        <w:tc>
          <w:tcPr>
            <w:tcW w:w="1339" w:type="dxa"/>
            <w:tcBorders>
              <w:top w:val="nil"/>
              <w:left w:val="nil"/>
              <w:bottom w:val="single" w:sz="4" w:space="0" w:color="000000"/>
              <w:right w:val="single" w:sz="4" w:space="0" w:color="000000"/>
            </w:tcBorders>
            <w:shd w:val="clear" w:color="auto" w:fill="F8CBAD"/>
            <w:vAlign w:val="bottom"/>
          </w:tcPr>
          <w:p w14:paraId="4003C0CA" w14:textId="77777777" w:rsidR="00AD3A74" w:rsidRPr="00AD3A74" w:rsidRDefault="00AD3A74" w:rsidP="00671F58">
            <w:pPr>
              <w:jc w:val="right"/>
              <w:rPr>
                <w:color w:val="000000"/>
                <w:sz w:val="22"/>
                <w:szCs w:val="22"/>
              </w:rPr>
            </w:pPr>
            <w:r w:rsidRPr="00AD3A74">
              <w:rPr>
                <w:color w:val="000000"/>
                <w:sz w:val="22"/>
                <w:szCs w:val="22"/>
              </w:rPr>
              <w:t>0,18</w:t>
            </w:r>
          </w:p>
        </w:tc>
        <w:tc>
          <w:tcPr>
            <w:tcW w:w="1276" w:type="dxa"/>
            <w:tcBorders>
              <w:top w:val="nil"/>
              <w:left w:val="nil"/>
              <w:bottom w:val="single" w:sz="4" w:space="0" w:color="000000"/>
              <w:right w:val="nil"/>
            </w:tcBorders>
            <w:shd w:val="clear" w:color="auto" w:fill="F8CBAD"/>
            <w:vAlign w:val="bottom"/>
          </w:tcPr>
          <w:p w14:paraId="6B07C8E4" w14:textId="77777777" w:rsidR="00AD3A74" w:rsidRPr="00AD3A74" w:rsidRDefault="00AD3A74" w:rsidP="00671F58">
            <w:pPr>
              <w:jc w:val="right"/>
              <w:rPr>
                <w:color w:val="000000"/>
                <w:sz w:val="22"/>
                <w:szCs w:val="22"/>
              </w:rPr>
            </w:pPr>
            <w:r w:rsidRPr="00AD3A74">
              <w:rPr>
                <w:color w:val="000000"/>
                <w:sz w:val="22"/>
                <w:szCs w:val="22"/>
              </w:rPr>
              <w:t>0,926</w:t>
            </w:r>
          </w:p>
        </w:tc>
      </w:tr>
      <w:tr w:rsidR="00AD3A74" w:rsidRPr="00AD3A74" w14:paraId="58FFB890" w14:textId="77777777" w:rsidTr="00226FE5">
        <w:trPr>
          <w:trHeight w:val="300"/>
        </w:trPr>
        <w:tc>
          <w:tcPr>
            <w:tcW w:w="960" w:type="dxa"/>
            <w:tcBorders>
              <w:top w:val="nil"/>
              <w:left w:val="nil"/>
              <w:bottom w:val="single" w:sz="4" w:space="0" w:color="000000"/>
              <w:right w:val="single" w:sz="4" w:space="0" w:color="000000"/>
            </w:tcBorders>
            <w:shd w:val="clear" w:color="auto" w:fill="F8CBAD"/>
            <w:vAlign w:val="bottom"/>
          </w:tcPr>
          <w:p w14:paraId="795FA235" w14:textId="77777777" w:rsidR="00AD3A74" w:rsidRPr="00AD3A74" w:rsidRDefault="00AD3A74" w:rsidP="00671F58">
            <w:pPr>
              <w:jc w:val="right"/>
              <w:rPr>
                <w:color w:val="000000"/>
                <w:sz w:val="22"/>
                <w:szCs w:val="22"/>
              </w:rPr>
            </w:pPr>
            <w:r w:rsidRPr="00AD3A74">
              <w:rPr>
                <w:color w:val="000000"/>
                <w:sz w:val="22"/>
                <w:szCs w:val="22"/>
              </w:rPr>
              <w:t>2015</w:t>
            </w:r>
          </w:p>
        </w:tc>
        <w:tc>
          <w:tcPr>
            <w:tcW w:w="1308" w:type="dxa"/>
            <w:tcBorders>
              <w:top w:val="nil"/>
              <w:left w:val="nil"/>
              <w:bottom w:val="single" w:sz="4" w:space="0" w:color="000000"/>
              <w:right w:val="single" w:sz="4" w:space="0" w:color="000000"/>
            </w:tcBorders>
            <w:shd w:val="clear" w:color="auto" w:fill="F8CBAD"/>
            <w:vAlign w:val="bottom"/>
          </w:tcPr>
          <w:p w14:paraId="64DEC34A" w14:textId="77777777" w:rsidR="00AD3A74" w:rsidRPr="00AD3A74" w:rsidRDefault="00AD3A74" w:rsidP="00671F58">
            <w:pPr>
              <w:jc w:val="right"/>
              <w:rPr>
                <w:color w:val="000000"/>
                <w:sz w:val="22"/>
                <w:szCs w:val="22"/>
              </w:rPr>
            </w:pPr>
            <w:r w:rsidRPr="00AD3A74">
              <w:rPr>
                <w:color w:val="000000"/>
                <w:sz w:val="22"/>
                <w:szCs w:val="22"/>
              </w:rPr>
              <w:t>340199</w:t>
            </w:r>
          </w:p>
        </w:tc>
        <w:tc>
          <w:tcPr>
            <w:tcW w:w="1181" w:type="dxa"/>
            <w:tcBorders>
              <w:top w:val="nil"/>
              <w:left w:val="nil"/>
              <w:bottom w:val="single" w:sz="4" w:space="0" w:color="000000"/>
              <w:right w:val="single" w:sz="4" w:space="0" w:color="000000"/>
            </w:tcBorders>
            <w:shd w:val="clear" w:color="auto" w:fill="F8CBAD"/>
            <w:vAlign w:val="bottom"/>
          </w:tcPr>
          <w:p w14:paraId="50F6C76C" w14:textId="77777777" w:rsidR="00AD3A74" w:rsidRPr="00AD3A74" w:rsidRDefault="00AD3A74" w:rsidP="00671F58">
            <w:pPr>
              <w:jc w:val="right"/>
              <w:rPr>
                <w:color w:val="000000"/>
                <w:sz w:val="22"/>
                <w:szCs w:val="22"/>
              </w:rPr>
            </w:pPr>
            <w:r w:rsidRPr="00AD3A74">
              <w:rPr>
                <w:color w:val="000000"/>
                <w:sz w:val="22"/>
                <w:szCs w:val="22"/>
              </w:rPr>
              <w:t>43,81</w:t>
            </w:r>
          </w:p>
        </w:tc>
        <w:tc>
          <w:tcPr>
            <w:tcW w:w="1134" w:type="dxa"/>
            <w:tcBorders>
              <w:top w:val="nil"/>
              <w:left w:val="nil"/>
              <w:bottom w:val="single" w:sz="4" w:space="0" w:color="000000"/>
              <w:right w:val="single" w:sz="4" w:space="0" w:color="000000"/>
            </w:tcBorders>
            <w:shd w:val="clear" w:color="auto" w:fill="F8CBAD"/>
            <w:vAlign w:val="bottom"/>
          </w:tcPr>
          <w:p w14:paraId="264D5666" w14:textId="77777777" w:rsidR="00AD3A74" w:rsidRPr="00AD3A74" w:rsidRDefault="00AD3A74" w:rsidP="00671F58">
            <w:pPr>
              <w:jc w:val="right"/>
              <w:rPr>
                <w:color w:val="000000"/>
                <w:sz w:val="22"/>
                <w:szCs w:val="22"/>
              </w:rPr>
            </w:pPr>
            <w:r w:rsidRPr="00AD3A74">
              <w:rPr>
                <w:color w:val="000000"/>
                <w:sz w:val="22"/>
                <w:szCs w:val="22"/>
              </w:rPr>
              <w:t>243,66</w:t>
            </w:r>
          </w:p>
        </w:tc>
        <w:tc>
          <w:tcPr>
            <w:tcW w:w="1087" w:type="dxa"/>
            <w:tcBorders>
              <w:top w:val="nil"/>
              <w:left w:val="nil"/>
              <w:bottom w:val="single" w:sz="4" w:space="0" w:color="000000"/>
              <w:right w:val="single" w:sz="4" w:space="0" w:color="000000"/>
            </w:tcBorders>
            <w:shd w:val="clear" w:color="auto" w:fill="F8CBAD"/>
            <w:vAlign w:val="bottom"/>
          </w:tcPr>
          <w:p w14:paraId="7FF84A90" w14:textId="77777777" w:rsidR="00AD3A74" w:rsidRPr="00AD3A74" w:rsidRDefault="00AD3A74" w:rsidP="00671F58">
            <w:pPr>
              <w:jc w:val="right"/>
              <w:rPr>
                <w:color w:val="000000"/>
                <w:sz w:val="22"/>
                <w:szCs w:val="22"/>
              </w:rPr>
            </w:pPr>
            <w:r w:rsidRPr="00AD3A74">
              <w:rPr>
                <w:color w:val="000000"/>
                <w:sz w:val="22"/>
                <w:szCs w:val="22"/>
              </w:rPr>
              <w:t>232,79</w:t>
            </w:r>
          </w:p>
        </w:tc>
        <w:tc>
          <w:tcPr>
            <w:tcW w:w="1132" w:type="dxa"/>
            <w:tcBorders>
              <w:top w:val="nil"/>
              <w:left w:val="nil"/>
              <w:bottom w:val="single" w:sz="4" w:space="0" w:color="000000"/>
              <w:right w:val="single" w:sz="4" w:space="0" w:color="000000"/>
            </w:tcBorders>
            <w:shd w:val="clear" w:color="auto" w:fill="F8CBAD"/>
            <w:vAlign w:val="bottom"/>
          </w:tcPr>
          <w:p w14:paraId="73516966" w14:textId="77777777" w:rsidR="00AD3A74" w:rsidRPr="00AD3A74" w:rsidRDefault="00AD3A74" w:rsidP="00671F58">
            <w:pPr>
              <w:jc w:val="right"/>
              <w:rPr>
                <w:color w:val="000000"/>
                <w:sz w:val="22"/>
                <w:szCs w:val="22"/>
              </w:rPr>
            </w:pPr>
            <w:r w:rsidRPr="00AD3A74">
              <w:rPr>
                <w:color w:val="000000"/>
                <w:sz w:val="22"/>
                <w:szCs w:val="22"/>
              </w:rPr>
              <w:t>0,18</w:t>
            </w:r>
          </w:p>
        </w:tc>
        <w:tc>
          <w:tcPr>
            <w:tcW w:w="1339" w:type="dxa"/>
            <w:tcBorders>
              <w:top w:val="nil"/>
              <w:left w:val="nil"/>
              <w:bottom w:val="single" w:sz="4" w:space="0" w:color="000000"/>
              <w:right w:val="single" w:sz="4" w:space="0" w:color="000000"/>
            </w:tcBorders>
            <w:shd w:val="clear" w:color="auto" w:fill="F8CBAD"/>
            <w:vAlign w:val="bottom"/>
          </w:tcPr>
          <w:p w14:paraId="15456E43" w14:textId="77777777" w:rsidR="00AD3A74" w:rsidRPr="00AD3A74" w:rsidRDefault="00AD3A74" w:rsidP="00671F58">
            <w:pPr>
              <w:jc w:val="right"/>
              <w:rPr>
                <w:color w:val="000000"/>
                <w:sz w:val="22"/>
                <w:szCs w:val="22"/>
              </w:rPr>
            </w:pPr>
            <w:r w:rsidRPr="00AD3A74">
              <w:rPr>
                <w:color w:val="000000"/>
                <w:sz w:val="22"/>
                <w:szCs w:val="22"/>
              </w:rPr>
              <w:t>0,19</w:t>
            </w:r>
          </w:p>
        </w:tc>
        <w:tc>
          <w:tcPr>
            <w:tcW w:w="1276" w:type="dxa"/>
            <w:tcBorders>
              <w:top w:val="nil"/>
              <w:left w:val="nil"/>
              <w:bottom w:val="single" w:sz="4" w:space="0" w:color="000000"/>
              <w:right w:val="nil"/>
            </w:tcBorders>
            <w:shd w:val="clear" w:color="auto" w:fill="F8CBAD"/>
            <w:vAlign w:val="bottom"/>
          </w:tcPr>
          <w:p w14:paraId="23A3ABBA" w14:textId="77777777" w:rsidR="00AD3A74" w:rsidRPr="00AD3A74" w:rsidRDefault="00AD3A74" w:rsidP="00671F58">
            <w:pPr>
              <w:jc w:val="right"/>
              <w:rPr>
                <w:color w:val="000000"/>
                <w:sz w:val="22"/>
                <w:szCs w:val="22"/>
              </w:rPr>
            </w:pPr>
            <w:r w:rsidRPr="00AD3A74">
              <w:rPr>
                <w:color w:val="000000"/>
                <w:sz w:val="22"/>
                <w:szCs w:val="22"/>
              </w:rPr>
              <w:t>0,955</w:t>
            </w:r>
          </w:p>
        </w:tc>
      </w:tr>
      <w:tr w:rsidR="00AD3A74" w:rsidRPr="00AD3A74" w14:paraId="7FE5F8E4" w14:textId="77777777" w:rsidTr="00226FE5">
        <w:trPr>
          <w:trHeight w:val="300"/>
        </w:trPr>
        <w:tc>
          <w:tcPr>
            <w:tcW w:w="960" w:type="dxa"/>
            <w:tcBorders>
              <w:top w:val="nil"/>
              <w:left w:val="nil"/>
              <w:bottom w:val="single" w:sz="4" w:space="0" w:color="000000"/>
              <w:right w:val="single" w:sz="4" w:space="0" w:color="000000"/>
            </w:tcBorders>
            <w:shd w:val="clear" w:color="auto" w:fill="F8CBAD"/>
            <w:vAlign w:val="bottom"/>
          </w:tcPr>
          <w:p w14:paraId="65585CC7" w14:textId="77777777" w:rsidR="00AD3A74" w:rsidRPr="00AD3A74" w:rsidRDefault="00AD3A74" w:rsidP="00671F58">
            <w:pPr>
              <w:jc w:val="right"/>
              <w:rPr>
                <w:color w:val="000000"/>
                <w:sz w:val="22"/>
                <w:szCs w:val="22"/>
              </w:rPr>
            </w:pPr>
            <w:r w:rsidRPr="00AD3A74">
              <w:rPr>
                <w:color w:val="000000"/>
                <w:sz w:val="22"/>
                <w:szCs w:val="22"/>
              </w:rPr>
              <w:t>2016</w:t>
            </w:r>
          </w:p>
        </w:tc>
        <w:tc>
          <w:tcPr>
            <w:tcW w:w="1308" w:type="dxa"/>
            <w:tcBorders>
              <w:top w:val="nil"/>
              <w:left w:val="nil"/>
              <w:bottom w:val="single" w:sz="4" w:space="0" w:color="000000"/>
              <w:right w:val="single" w:sz="4" w:space="0" w:color="000000"/>
            </w:tcBorders>
            <w:shd w:val="clear" w:color="auto" w:fill="F8CBAD"/>
            <w:vAlign w:val="bottom"/>
          </w:tcPr>
          <w:p w14:paraId="09EC30C9" w14:textId="77777777" w:rsidR="00AD3A74" w:rsidRPr="00AD3A74" w:rsidRDefault="00AD3A74" w:rsidP="00671F58">
            <w:pPr>
              <w:jc w:val="right"/>
              <w:rPr>
                <w:color w:val="000000"/>
                <w:sz w:val="22"/>
                <w:szCs w:val="22"/>
              </w:rPr>
            </w:pPr>
            <w:r w:rsidRPr="00AD3A74">
              <w:rPr>
                <w:color w:val="000000"/>
                <w:sz w:val="22"/>
                <w:szCs w:val="22"/>
              </w:rPr>
              <w:t>343230</w:t>
            </w:r>
          </w:p>
        </w:tc>
        <w:tc>
          <w:tcPr>
            <w:tcW w:w="1181" w:type="dxa"/>
            <w:tcBorders>
              <w:top w:val="nil"/>
              <w:left w:val="nil"/>
              <w:bottom w:val="single" w:sz="4" w:space="0" w:color="000000"/>
              <w:right w:val="single" w:sz="4" w:space="0" w:color="000000"/>
            </w:tcBorders>
            <w:shd w:val="clear" w:color="auto" w:fill="F8CBAD"/>
            <w:vAlign w:val="bottom"/>
          </w:tcPr>
          <w:p w14:paraId="4518577A" w14:textId="77777777" w:rsidR="00AD3A74" w:rsidRPr="00AD3A74" w:rsidRDefault="00AD3A74" w:rsidP="00671F58">
            <w:pPr>
              <w:jc w:val="right"/>
              <w:rPr>
                <w:color w:val="000000"/>
                <w:sz w:val="22"/>
                <w:szCs w:val="22"/>
              </w:rPr>
            </w:pPr>
            <w:r w:rsidRPr="00AD3A74">
              <w:rPr>
                <w:color w:val="000000"/>
                <w:sz w:val="22"/>
                <w:szCs w:val="22"/>
              </w:rPr>
              <w:t>51,26</w:t>
            </w:r>
          </w:p>
        </w:tc>
        <w:tc>
          <w:tcPr>
            <w:tcW w:w="1134" w:type="dxa"/>
            <w:tcBorders>
              <w:top w:val="nil"/>
              <w:left w:val="nil"/>
              <w:bottom w:val="single" w:sz="4" w:space="0" w:color="000000"/>
              <w:right w:val="single" w:sz="4" w:space="0" w:color="000000"/>
            </w:tcBorders>
            <w:shd w:val="clear" w:color="auto" w:fill="F8CBAD"/>
            <w:vAlign w:val="bottom"/>
          </w:tcPr>
          <w:p w14:paraId="51E0AF99" w14:textId="77777777" w:rsidR="00AD3A74" w:rsidRPr="00AD3A74" w:rsidRDefault="00AD3A74" w:rsidP="00671F58">
            <w:pPr>
              <w:jc w:val="right"/>
              <w:rPr>
                <w:color w:val="000000"/>
                <w:sz w:val="22"/>
                <w:szCs w:val="22"/>
              </w:rPr>
            </w:pPr>
            <w:r w:rsidRPr="00AD3A74">
              <w:rPr>
                <w:color w:val="000000"/>
                <w:sz w:val="22"/>
                <w:szCs w:val="22"/>
              </w:rPr>
              <w:t>280,04</w:t>
            </w:r>
          </w:p>
        </w:tc>
        <w:tc>
          <w:tcPr>
            <w:tcW w:w="1087" w:type="dxa"/>
            <w:tcBorders>
              <w:top w:val="nil"/>
              <w:left w:val="nil"/>
              <w:bottom w:val="single" w:sz="4" w:space="0" w:color="000000"/>
              <w:right w:val="single" w:sz="4" w:space="0" w:color="000000"/>
            </w:tcBorders>
            <w:shd w:val="clear" w:color="auto" w:fill="F8CBAD"/>
            <w:vAlign w:val="bottom"/>
          </w:tcPr>
          <w:p w14:paraId="33BD56FA" w14:textId="77777777" w:rsidR="00AD3A74" w:rsidRPr="00AD3A74" w:rsidRDefault="00AD3A74" w:rsidP="00671F58">
            <w:pPr>
              <w:jc w:val="right"/>
              <w:rPr>
                <w:color w:val="000000"/>
                <w:sz w:val="22"/>
                <w:szCs w:val="22"/>
              </w:rPr>
            </w:pPr>
            <w:r w:rsidRPr="00AD3A74">
              <w:rPr>
                <w:color w:val="000000"/>
                <w:sz w:val="22"/>
                <w:szCs w:val="22"/>
              </w:rPr>
              <w:t>230,95</w:t>
            </w:r>
          </w:p>
        </w:tc>
        <w:tc>
          <w:tcPr>
            <w:tcW w:w="1132" w:type="dxa"/>
            <w:tcBorders>
              <w:top w:val="nil"/>
              <w:left w:val="nil"/>
              <w:bottom w:val="single" w:sz="4" w:space="0" w:color="000000"/>
              <w:right w:val="single" w:sz="4" w:space="0" w:color="000000"/>
            </w:tcBorders>
            <w:shd w:val="clear" w:color="auto" w:fill="F8CBAD"/>
            <w:vAlign w:val="bottom"/>
          </w:tcPr>
          <w:p w14:paraId="01BE78DC" w14:textId="77777777" w:rsidR="00AD3A74" w:rsidRPr="00AD3A74" w:rsidRDefault="00AD3A74" w:rsidP="00671F58">
            <w:pPr>
              <w:jc w:val="right"/>
              <w:rPr>
                <w:color w:val="000000"/>
                <w:sz w:val="22"/>
                <w:szCs w:val="22"/>
              </w:rPr>
            </w:pPr>
            <w:r w:rsidRPr="00AD3A74">
              <w:rPr>
                <w:color w:val="000000"/>
                <w:sz w:val="22"/>
                <w:szCs w:val="22"/>
              </w:rPr>
              <w:t>0,18</w:t>
            </w:r>
          </w:p>
        </w:tc>
        <w:tc>
          <w:tcPr>
            <w:tcW w:w="1339" w:type="dxa"/>
            <w:tcBorders>
              <w:top w:val="nil"/>
              <w:left w:val="nil"/>
              <w:bottom w:val="single" w:sz="4" w:space="0" w:color="000000"/>
              <w:right w:val="single" w:sz="4" w:space="0" w:color="000000"/>
            </w:tcBorders>
            <w:shd w:val="clear" w:color="auto" w:fill="F8CBAD"/>
            <w:vAlign w:val="bottom"/>
          </w:tcPr>
          <w:p w14:paraId="032F40B4" w14:textId="77777777" w:rsidR="00AD3A74" w:rsidRPr="00AD3A74" w:rsidRDefault="00AD3A74" w:rsidP="00671F58">
            <w:pPr>
              <w:jc w:val="right"/>
              <w:rPr>
                <w:color w:val="000000"/>
                <w:sz w:val="22"/>
                <w:szCs w:val="22"/>
              </w:rPr>
            </w:pPr>
            <w:r w:rsidRPr="00AD3A74">
              <w:rPr>
                <w:color w:val="000000"/>
                <w:sz w:val="22"/>
                <w:szCs w:val="22"/>
              </w:rPr>
              <w:t>0,22</w:t>
            </w:r>
          </w:p>
        </w:tc>
        <w:tc>
          <w:tcPr>
            <w:tcW w:w="1276" w:type="dxa"/>
            <w:tcBorders>
              <w:top w:val="nil"/>
              <w:left w:val="nil"/>
              <w:bottom w:val="single" w:sz="4" w:space="0" w:color="000000"/>
              <w:right w:val="nil"/>
            </w:tcBorders>
            <w:shd w:val="clear" w:color="auto" w:fill="F8CBAD"/>
            <w:vAlign w:val="bottom"/>
          </w:tcPr>
          <w:p w14:paraId="46D1F662" w14:textId="77777777" w:rsidR="00AD3A74" w:rsidRPr="00AD3A74" w:rsidRDefault="00AD3A74" w:rsidP="00671F58">
            <w:pPr>
              <w:jc w:val="right"/>
              <w:rPr>
                <w:color w:val="000000"/>
                <w:sz w:val="22"/>
                <w:szCs w:val="22"/>
              </w:rPr>
            </w:pPr>
            <w:r w:rsidRPr="00AD3A74">
              <w:rPr>
                <w:color w:val="000000"/>
                <w:sz w:val="22"/>
                <w:szCs w:val="22"/>
              </w:rPr>
              <w:t>0,825</w:t>
            </w:r>
          </w:p>
        </w:tc>
      </w:tr>
      <w:tr w:rsidR="00AD3A74" w:rsidRPr="00AD3A74" w14:paraId="51B40EAE" w14:textId="77777777" w:rsidTr="00226FE5">
        <w:trPr>
          <w:trHeight w:val="300"/>
        </w:trPr>
        <w:tc>
          <w:tcPr>
            <w:tcW w:w="960" w:type="dxa"/>
            <w:tcBorders>
              <w:top w:val="nil"/>
              <w:left w:val="nil"/>
              <w:bottom w:val="single" w:sz="4" w:space="0" w:color="000000"/>
              <w:right w:val="single" w:sz="4" w:space="0" w:color="000000"/>
            </w:tcBorders>
            <w:shd w:val="clear" w:color="auto" w:fill="C6E0B4"/>
            <w:vAlign w:val="bottom"/>
          </w:tcPr>
          <w:p w14:paraId="348A3F96" w14:textId="77777777" w:rsidR="00AD3A74" w:rsidRPr="00AD3A74" w:rsidRDefault="00AD3A74" w:rsidP="00671F58">
            <w:pPr>
              <w:jc w:val="right"/>
              <w:rPr>
                <w:color w:val="000000"/>
                <w:sz w:val="22"/>
                <w:szCs w:val="22"/>
              </w:rPr>
            </w:pPr>
            <w:r w:rsidRPr="00AD3A74">
              <w:rPr>
                <w:color w:val="000000"/>
                <w:sz w:val="22"/>
                <w:szCs w:val="22"/>
              </w:rPr>
              <w:t>2017</w:t>
            </w:r>
          </w:p>
        </w:tc>
        <w:tc>
          <w:tcPr>
            <w:tcW w:w="1308" w:type="dxa"/>
            <w:tcBorders>
              <w:top w:val="nil"/>
              <w:left w:val="nil"/>
              <w:bottom w:val="single" w:sz="4" w:space="0" w:color="000000"/>
              <w:right w:val="single" w:sz="4" w:space="0" w:color="000000"/>
            </w:tcBorders>
            <w:shd w:val="clear" w:color="auto" w:fill="C6E0B4"/>
            <w:vAlign w:val="bottom"/>
          </w:tcPr>
          <w:p w14:paraId="36B6219A" w14:textId="77777777" w:rsidR="00AD3A74" w:rsidRPr="00AD3A74" w:rsidRDefault="00AD3A74" w:rsidP="00671F58">
            <w:pPr>
              <w:jc w:val="right"/>
              <w:rPr>
                <w:color w:val="000000"/>
                <w:sz w:val="22"/>
                <w:szCs w:val="22"/>
              </w:rPr>
            </w:pPr>
            <w:r w:rsidRPr="00AD3A74">
              <w:rPr>
                <w:color w:val="000000"/>
                <w:sz w:val="22"/>
                <w:szCs w:val="22"/>
              </w:rPr>
              <w:t>348718</w:t>
            </w:r>
          </w:p>
        </w:tc>
        <w:tc>
          <w:tcPr>
            <w:tcW w:w="1181" w:type="dxa"/>
            <w:tcBorders>
              <w:top w:val="nil"/>
              <w:left w:val="nil"/>
              <w:bottom w:val="single" w:sz="4" w:space="0" w:color="000000"/>
              <w:right w:val="single" w:sz="4" w:space="0" w:color="000000"/>
            </w:tcBorders>
            <w:shd w:val="clear" w:color="auto" w:fill="C6E0B4"/>
            <w:vAlign w:val="bottom"/>
          </w:tcPr>
          <w:p w14:paraId="0433EF0F" w14:textId="77777777" w:rsidR="00AD3A74" w:rsidRPr="00AD3A74" w:rsidRDefault="00AD3A74" w:rsidP="00671F58">
            <w:pPr>
              <w:jc w:val="right"/>
              <w:rPr>
                <w:color w:val="000000"/>
                <w:sz w:val="22"/>
                <w:szCs w:val="22"/>
              </w:rPr>
            </w:pPr>
            <w:r w:rsidRPr="00AD3A74">
              <w:rPr>
                <w:color w:val="000000"/>
                <w:sz w:val="22"/>
                <w:szCs w:val="22"/>
              </w:rPr>
              <w:t>54,21</w:t>
            </w:r>
          </w:p>
        </w:tc>
        <w:tc>
          <w:tcPr>
            <w:tcW w:w="1134" w:type="dxa"/>
            <w:tcBorders>
              <w:top w:val="nil"/>
              <w:left w:val="nil"/>
              <w:bottom w:val="single" w:sz="4" w:space="0" w:color="000000"/>
              <w:right w:val="single" w:sz="4" w:space="0" w:color="000000"/>
            </w:tcBorders>
            <w:shd w:val="clear" w:color="auto" w:fill="C6E0B4"/>
            <w:vAlign w:val="bottom"/>
          </w:tcPr>
          <w:p w14:paraId="5766CB52" w14:textId="77777777" w:rsidR="00AD3A74" w:rsidRPr="00AD3A74" w:rsidRDefault="00AD3A74" w:rsidP="00671F58">
            <w:pPr>
              <w:jc w:val="right"/>
              <w:rPr>
                <w:color w:val="000000"/>
                <w:sz w:val="22"/>
                <w:szCs w:val="22"/>
              </w:rPr>
            </w:pPr>
            <w:r w:rsidRPr="00AD3A74">
              <w:rPr>
                <w:color w:val="000000"/>
                <w:sz w:val="22"/>
                <w:szCs w:val="22"/>
              </w:rPr>
              <w:t>269,18</w:t>
            </w:r>
          </w:p>
        </w:tc>
        <w:tc>
          <w:tcPr>
            <w:tcW w:w="1087" w:type="dxa"/>
            <w:tcBorders>
              <w:top w:val="nil"/>
              <w:left w:val="nil"/>
              <w:bottom w:val="single" w:sz="4" w:space="0" w:color="000000"/>
              <w:right w:val="single" w:sz="4" w:space="0" w:color="000000"/>
            </w:tcBorders>
            <w:shd w:val="clear" w:color="auto" w:fill="C6E0B4"/>
            <w:vAlign w:val="bottom"/>
          </w:tcPr>
          <w:p w14:paraId="1D92DD76" w14:textId="77777777" w:rsidR="00AD3A74" w:rsidRPr="00AD3A74" w:rsidRDefault="00AD3A74" w:rsidP="00671F58">
            <w:pPr>
              <w:jc w:val="right"/>
              <w:rPr>
                <w:color w:val="000000"/>
                <w:sz w:val="22"/>
                <w:szCs w:val="22"/>
              </w:rPr>
            </w:pPr>
            <w:r w:rsidRPr="00AD3A74">
              <w:rPr>
                <w:color w:val="000000"/>
                <w:sz w:val="22"/>
                <w:szCs w:val="22"/>
              </w:rPr>
              <w:t>247,88</w:t>
            </w:r>
          </w:p>
        </w:tc>
        <w:tc>
          <w:tcPr>
            <w:tcW w:w="1132" w:type="dxa"/>
            <w:tcBorders>
              <w:top w:val="nil"/>
              <w:left w:val="nil"/>
              <w:bottom w:val="single" w:sz="4" w:space="0" w:color="000000"/>
              <w:right w:val="single" w:sz="4" w:space="0" w:color="000000"/>
            </w:tcBorders>
            <w:shd w:val="clear" w:color="auto" w:fill="C6E0B4"/>
            <w:vAlign w:val="bottom"/>
          </w:tcPr>
          <w:p w14:paraId="2646B516" w14:textId="77777777" w:rsidR="00AD3A74" w:rsidRPr="00AD3A74" w:rsidRDefault="00AD3A74" w:rsidP="00671F58">
            <w:pPr>
              <w:jc w:val="right"/>
              <w:rPr>
                <w:color w:val="000000"/>
                <w:sz w:val="22"/>
                <w:szCs w:val="22"/>
              </w:rPr>
            </w:pPr>
            <w:r w:rsidRPr="00AD3A74">
              <w:rPr>
                <w:color w:val="000000"/>
                <w:sz w:val="22"/>
                <w:szCs w:val="22"/>
              </w:rPr>
              <w:t>0,20</w:t>
            </w:r>
          </w:p>
        </w:tc>
        <w:tc>
          <w:tcPr>
            <w:tcW w:w="1339" w:type="dxa"/>
            <w:tcBorders>
              <w:top w:val="nil"/>
              <w:left w:val="nil"/>
              <w:bottom w:val="single" w:sz="4" w:space="0" w:color="000000"/>
              <w:right w:val="single" w:sz="4" w:space="0" w:color="000000"/>
            </w:tcBorders>
            <w:shd w:val="clear" w:color="auto" w:fill="C6E0B4"/>
            <w:vAlign w:val="bottom"/>
          </w:tcPr>
          <w:p w14:paraId="019DCFD5" w14:textId="77777777" w:rsidR="00AD3A74" w:rsidRPr="00AD3A74" w:rsidRDefault="00AD3A74" w:rsidP="00671F58">
            <w:pPr>
              <w:jc w:val="right"/>
              <w:rPr>
                <w:color w:val="000000"/>
                <w:sz w:val="22"/>
                <w:szCs w:val="22"/>
              </w:rPr>
            </w:pPr>
            <w:r w:rsidRPr="00AD3A74">
              <w:rPr>
                <w:color w:val="000000"/>
                <w:sz w:val="22"/>
                <w:szCs w:val="22"/>
              </w:rPr>
              <w:t>0,22</w:t>
            </w:r>
          </w:p>
        </w:tc>
        <w:tc>
          <w:tcPr>
            <w:tcW w:w="1276" w:type="dxa"/>
            <w:tcBorders>
              <w:top w:val="nil"/>
              <w:left w:val="nil"/>
              <w:bottom w:val="single" w:sz="4" w:space="0" w:color="000000"/>
              <w:right w:val="nil"/>
            </w:tcBorders>
            <w:shd w:val="clear" w:color="auto" w:fill="C6E0B4"/>
            <w:vAlign w:val="bottom"/>
          </w:tcPr>
          <w:p w14:paraId="1E3AD2C2" w14:textId="77777777" w:rsidR="00AD3A74" w:rsidRPr="00AD3A74" w:rsidRDefault="00AD3A74" w:rsidP="00671F58">
            <w:pPr>
              <w:jc w:val="right"/>
              <w:rPr>
                <w:color w:val="000000"/>
                <w:sz w:val="22"/>
                <w:szCs w:val="22"/>
              </w:rPr>
            </w:pPr>
            <w:r w:rsidRPr="00AD3A74">
              <w:rPr>
                <w:color w:val="000000"/>
                <w:sz w:val="22"/>
                <w:szCs w:val="22"/>
              </w:rPr>
              <w:t>0,921</w:t>
            </w:r>
          </w:p>
        </w:tc>
      </w:tr>
      <w:tr w:rsidR="00AD3A74" w:rsidRPr="00AD3A74" w14:paraId="16A4EB09" w14:textId="77777777" w:rsidTr="00226FE5">
        <w:trPr>
          <w:trHeight w:val="300"/>
        </w:trPr>
        <w:tc>
          <w:tcPr>
            <w:tcW w:w="960" w:type="dxa"/>
            <w:tcBorders>
              <w:top w:val="nil"/>
              <w:left w:val="nil"/>
              <w:bottom w:val="single" w:sz="4" w:space="0" w:color="000000"/>
              <w:right w:val="single" w:sz="4" w:space="0" w:color="000000"/>
            </w:tcBorders>
            <w:shd w:val="clear" w:color="auto" w:fill="C6E0B4"/>
            <w:vAlign w:val="bottom"/>
          </w:tcPr>
          <w:p w14:paraId="03A40304" w14:textId="77777777" w:rsidR="00AD3A74" w:rsidRPr="00AD3A74" w:rsidRDefault="00AD3A74" w:rsidP="00671F58">
            <w:pPr>
              <w:jc w:val="right"/>
              <w:rPr>
                <w:color w:val="000000"/>
                <w:sz w:val="22"/>
                <w:szCs w:val="22"/>
              </w:rPr>
            </w:pPr>
            <w:r w:rsidRPr="00AD3A74">
              <w:rPr>
                <w:color w:val="000000"/>
                <w:sz w:val="22"/>
                <w:szCs w:val="22"/>
              </w:rPr>
              <w:t>2018</w:t>
            </w:r>
          </w:p>
        </w:tc>
        <w:tc>
          <w:tcPr>
            <w:tcW w:w="1308" w:type="dxa"/>
            <w:tcBorders>
              <w:top w:val="nil"/>
              <w:left w:val="nil"/>
              <w:bottom w:val="single" w:sz="4" w:space="0" w:color="000000"/>
              <w:right w:val="single" w:sz="4" w:space="0" w:color="000000"/>
            </w:tcBorders>
            <w:shd w:val="clear" w:color="auto" w:fill="C6E0B4"/>
            <w:vAlign w:val="bottom"/>
          </w:tcPr>
          <w:p w14:paraId="46146B7F" w14:textId="77777777" w:rsidR="00AD3A74" w:rsidRPr="00AD3A74" w:rsidRDefault="00AD3A74" w:rsidP="00671F58">
            <w:pPr>
              <w:jc w:val="right"/>
              <w:rPr>
                <w:color w:val="000000"/>
                <w:sz w:val="22"/>
                <w:szCs w:val="22"/>
              </w:rPr>
            </w:pPr>
            <w:r w:rsidRPr="00AD3A74">
              <w:rPr>
                <w:color w:val="000000"/>
                <w:sz w:val="22"/>
                <w:szCs w:val="22"/>
              </w:rPr>
              <w:t>346069</w:t>
            </w:r>
          </w:p>
        </w:tc>
        <w:tc>
          <w:tcPr>
            <w:tcW w:w="1181" w:type="dxa"/>
            <w:tcBorders>
              <w:top w:val="nil"/>
              <w:left w:val="nil"/>
              <w:bottom w:val="single" w:sz="4" w:space="0" w:color="000000"/>
              <w:right w:val="single" w:sz="4" w:space="0" w:color="000000"/>
            </w:tcBorders>
            <w:shd w:val="clear" w:color="auto" w:fill="C6E0B4"/>
            <w:vAlign w:val="bottom"/>
          </w:tcPr>
          <w:p w14:paraId="186CC613" w14:textId="77777777" w:rsidR="00AD3A74" w:rsidRPr="00AD3A74" w:rsidRDefault="00AD3A74" w:rsidP="00671F58">
            <w:pPr>
              <w:jc w:val="right"/>
              <w:rPr>
                <w:color w:val="000000"/>
                <w:sz w:val="22"/>
                <w:szCs w:val="22"/>
              </w:rPr>
            </w:pPr>
            <w:r w:rsidRPr="00AD3A74">
              <w:rPr>
                <w:color w:val="000000"/>
                <w:sz w:val="22"/>
                <w:szCs w:val="22"/>
              </w:rPr>
              <w:t>91,99</w:t>
            </w:r>
          </w:p>
        </w:tc>
        <w:tc>
          <w:tcPr>
            <w:tcW w:w="1134" w:type="dxa"/>
            <w:tcBorders>
              <w:top w:val="nil"/>
              <w:left w:val="nil"/>
              <w:bottom w:val="single" w:sz="4" w:space="0" w:color="000000"/>
              <w:right w:val="single" w:sz="4" w:space="0" w:color="000000"/>
            </w:tcBorders>
            <w:shd w:val="clear" w:color="auto" w:fill="C6E0B4"/>
            <w:vAlign w:val="bottom"/>
          </w:tcPr>
          <w:p w14:paraId="1FF77FB3" w14:textId="77777777" w:rsidR="00AD3A74" w:rsidRPr="00AD3A74" w:rsidRDefault="00AD3A74" w:rsidP="00671F58">
            <w:pPr>
              <w:jc w:val="right"/>
              <w:rPr>
                <w:color w:val="000000"/>
                <w:sz w:val="22"/>
                <w:szCs w:val="22"/>
              </w:rPr>
            </w:pPr>
            <w:r w:rsidRPr="00AD3A74">
              <w:rPr>
                <w:color w:val="000000"/>
                <w:sz w:val="22"/>
                <w:szCs w:val="22"/>
              </w:rPr>
              <w:t>276,11</w:t>
            </w:r>
          </w:p>
        </w:tc>
        <w:tc>
          <w:tcPr>
            <w:tcW w:w="1087" w:type="dxa"/>
            <w:tcBorders>
              <w:top w:val="nil"/>
              <w:left w:val="nil"/>
              <w:bottom w:val="single" w:sz="4" w:space="0" w:color="000000"/>
              <w:right w:val="single" w:sz="4" w:space="0" w:color="000000"/>
            </w:tcBorders>
            <w:shd w:val="clear" w:color="auto" w:fill="C6E0B4"/>
            <w:vAlign w:val="bottom"/>
          </w:tcPr>
          <w:p w14:paraId="74EAC3BA" w14:textId="77777777" w:rsidR="00AD3A74" w:rsidRPr="00AD3A74" w:rsidRDefault="00AD3A74" w:rsidP="00671F58">
            <w:pPr>
              <w:jc w:val="right"/>
              <w:rPr>
                <w:color w:val="000000"/>
                <w:sz w:val="22"/>
                <w:szCs w:val="22"/>
              </w:rPr>
            </w:pPr>
            <w:r w:rsidRPr="00AD3A74">
              <w:rPr>
                <w:color w:val="000000"/>
                <w:sz w:val="22"/>
                <w:szCs w:val="22"/>
              </w:rPr>
              <w:t>287,38</w:t>
            </w:r>
          </w:p>
        </w:tc>
        <w:tc>
          <w:tcPr>
            <w:tcW w:w="1132" w:type="dxa"/>
            <w:tcBorders>
              <w:top w:val="nil"/>
              <w:left w:val="nil"/>
              <w:bottom w:val="single" w:sz="4" w:space="0" w:color="000000"/>
              <w:right w:val="single" w:sz="4" w:space="0" w:color="000000"/>
            </w:tcBorders>
            <w:shd w:val="clear" w:color="auto" w:fill="C6E0B4"/>
            <w:vAlign w:val="bottom"/>
          </w:tcPr>
          <w:p w14:paraId="6D639E45" w14:textId="77777777" w:rsidR="00AD3A74" w:rsidRPr="00AD3A74" w:rsidRDefault="00AD3A74" w:rsidP="00671F58">
            <w:pPr>
              <w:jc w:val="right"/>
              <w:rPr>
                <w:color w:val="000000"/>
                <w:sz w:val="22"/>
                <w:szCs w:val="22"/>
              </w:rPr>
            </w:pPr>
            <w:r w:rsidRPr="00AD3A74">
              <w:rPr>
                <w:color w:val="000000"/>
                <w:sz w:val="22"/>
                <w:szCs w:val="22"/>
              </w:rPr>
              <w:t>0,33</w:t>
            </w:r>
          </w:p>
        </w:tc>
        <w:tc>
          <w:tcPr>
            <w:tcW w:w="1339" w:type="dxa"/>
            <w:tcBorders>
              <w:top w:val="nil"/>
              <w:left w:val="nil"/>
              <w:bottom w:val="single" w:sz="4" w:space="0" w:color="000000"/>
              <w:right w:val="single" w:sz="4" w:space="0" w:color="000000"/>
            </w:tcBorders>
            <w:shd w:val="clear" w:color="auto" w:fill="C6E0B4"/>
            <w:vAlign w:val="bottom"/>
          </w:tcPr>
          <w:p w14:paraId="21BBA5E5" w14:textId="77777777" w:rsidR="00AD3A74" w:rsidRPr="00AD3A74" w:rsidRDefault="00AD3A74" w:rsidP="00671F58">
            <w:pPr>
              <w:jc w:val="right"/>
              <w:rPr>
                <w:color w:val="000000"/>
                <w:sz w:val="22"/>
                <w:szCs w:val="22"/>
              </w:rPr>
            </w:pPr>
            <w:r w:rsidRPr="00AD3A74">
              <w:rPr>
                <w:color w:val="000000"/>
                <w:sz w:val="22"/>
                <w:szCs w:val="22"/>
              </w:rPr>
              <w:t>0,32</w:t>
            </w:r>
          </w:p>
        </w:tc>
        <w:tc>
          <w:tcPr>
            <w:tcW w:w="1276" w:type="dxa"/>
            <w:tcBorders>
              <w:top w:val="nil"/>
              <w:left w:val="nil"/>
              <w:bottom w:val="single" w:sz="4" w:space="0" w:color="000000"/>
              <w:right w:val="nil"/>
            </w:tcBorders>
            <w:shd w:val="clear" w:color="auto" w:fill="C6E0B4"/>
            <w:vAlign w:val="bottom"/>
          </w:tcPr>
          <w:p w14:paraId="36D7FA2A" w14:textId="77777777" w:rsidR="00AD3A74" w:rsidRPr="00AD3A74" w:rsidRDefault="00AD3A74" w:rsidP="00671F58">
            <w:pPr>
              <w:jc w:val="right"/>
              <w:rPr>
                <w:color w:val="000000"/>
                <w:sz w:val="22"/>
                <w:szCs w:val="22"/>
              </w:rPr>
            </w:pPr>
            <w:r w:rsidRPr="00AD3A74">
              <w:rPr>
                <w:color w:val="000000"/>
                <w:sz w:val="22"/>
                <w:szCs w:val="22"/>
              </w:rPr>
              <w:t>1,041</w:t>
            </w:r>
          </w:p>
        </w:tc>
      </w:tr>
      <w:tr w:rsidR="00AD3A74" w:rsidRPr="00AD3A74" w14:paraId="313AEA15" w14:textId="77777777" w:rsidTr="00226FE5">
        <w:trPr>
          <w:trHeight w:val="300"/>
        </w:trPr>
        <w:tc>
          <w:tcPr>
            <w:tcW w:w="960" w:type="dxa"/>
            <w:tcBorders>
              <w:top w:val="nil"/>
              <w:left w:val="nil"/>
              <w:bottom w:val="single" w:sz="4" w:space="0" w:color="000000"/>
              <w:right w:val="single" w:sz="4" w:space="0" w:color="000000"/>
            </w:tcBorders>
            <w:shd w:val="clear" w:color="auto" w:fill="C6E0B4"/>
            <w:vAlign w:val="bottom"/>
          </w:tcPr>
          <w:p w14:paraId="4FD98093" w14:textId="77777777" w:rsidR="00AD3A74" w:rsidRPr="00AD3A74" w:rsidRDefault="00AD3A74" w:rsidP="00671F58">
            <w:pPr>
              <w:jc w:val="right"/>
              <w:rPr>
                <w:color w:val="000000"/>
                <w:sz w:val="22"/>
                <w:szCs w:val="22"/>
              </w:rPr>
            </w:pPr>
            <w:r w:rsidRPr="00AD3A74">
              <w:rPr>
                <w:color w:val="000000"/>
                <w:sz w:val="22"/>
                <w:szCs w:val="22"/>
              </w:rPr>
              <w:t>2019</w:t>
            </w:r>
          </w:p>
        </w:tc>
        <w:tc>
          <w:tcPr>
            <w:tcW w:w="1308" w:type="dxa"/>
            <w:tcBorders>
              <w:top w:val="nil"/>
              <w:left w:val="nil"/>
              <w:bottom w:val="single" w:sz="4" w:space="0" w:color="000000"/>
              <w:right w:val="single" w:sz="4" w:space="0" w:color="000000"/>
            </w:tcBorders>
            <w:shd w:val="clear" w:color="auto" w:fill="C6E0B4"/>
            <w:vAlign w:val="bottom"/>
          </w:tcPr>
          <w:p w14:paraId="66266C1B" w14:textId="77777777" w:rsidR="00AD3A74" w:rsidRPr="00AD3A74" w:rsidRDefault="00AD3A74" w:rsidP="00671F58">
            <w:pPr>
              <w:jc w:val="right"/>
              <w:rPr>
                <w:color w:val="000000"/>
                <w:sz w:val="22"/>
                <w:szCs w:val="22"/>
              </w:rPr>
            </w:pPr>
            <w:r w:rsidRPr="00AD3A74">
              <w:rPr>
                <w:color w:val="000000"/>
                <w:sz w:val="22"/>
                <w:szCs w:val="22"/>
              </w:rPr>
              <w:t>338885</w:t>
            </w:r>
          </w:p>
        </w:tc>
        <w:tc>
          <w:tcPr>
            <w:tcW w:w="1181" w:type="dxa"/>
            <w:tcBorders>
              <w:top w:val="nil"/>
              <w:left w:val="nil"/>
              <w:bottom w:val="single" w:sz="4" w:space="0" w:color="000000"/>
              <w:right w:val="single" w:sz="4" w:space="0" w:color="000000"/>
            </w:tcBorders>
            <w:shd w:val="clear" w:color="auto" w:fill="C6E0B4"/>
            <w:vAlign w:val="bottom"/>
          </w:tcPr>
          <w:p w14:paraId="6B0E2671" w14:textId="77777777" w:rsidR="00AD3A74" w:rsidRPr="00AD3A74" w:rsidRDefault="00AD3A74" w:rsidP="00671F58">
            <w:pPr>
              <w:jc w:val="right"/>
              <w:rPr>
                <w:color w:val="000000"/>
                <w:sz w:val="22"/>
                <w:szCs w:val="22"/>
              </w:rPr>
            </w:pPr>
            <w:r w:rsidRPr="00AD3A74">
              <w:rPr>
                <w:color w:val="000000"/>
                <w:sz w:val="22"/>
                <w:szCs w:val="22"/>
              </w:rPr>
              <w:t>97,76</w:t>
            </w:r>
          </w:p>
        </w:tc>
        <w:tc>
          <w:tcPr>
            <w:tcW w:w="1134" w:type="dxa"/>
            <w:tcBorders>
              <w:top w:val="nil"/>
              <w:left w:val="nil"/>
              <w:bottom w:val="single" w:sz="4" w:space="0" w:color="000000"/>
              <w:right w:val="single" w:sz="4" w:space="0" w:color="000000"/>
            </w:tcBorders>
            <w:shd w:val="clear" w:color="auto" w:fill="C6E0B4"/>
            <w:vAlign w:val="bottom"/>
          </w:tcPr>
          <w:p w14:paraId="18E5A6B4" w14:textId="77777777" w:rsidR="00AD3A74" w:rsidRPr="00AD3A74" w:rsidRDefault="00AD3A74" w:rsidP="00671F58">
            <w:pPr>
              <w:jc w:val="right"/>
              <w:rPr>
                <w:color w:val="000000"/>
                <w:sz w:val="22"/>
                <w:szCs w:val="22"/>
              </w:rPr>
            </w:pPr>
            <w:r w:rsidRPr="00AD3A74">
              <w:rPr>
                <w:color w:val="000000"/>
                <w:sz w:val="22"/>
                <w:szCs w:val="22"/>
              </w:rPr>
              <w:t>305,27</w:t>
            </w:r>
          </w:p>
        </w:tc>
        <w:tc>
          <w:tcPr>
            <w:tcW w:w="1087" w:type="dxa"/>
            <w:tcBorders>
              <w:top w:val="nil"/>
              <w:left w:val="nil"/>
              <w:bottom w:val="single" w:sz="4" w:space="0" w:color="000000"/>
              <w:right w:val="single" w:sz="4" w:space="0" w:color="000000"/>
            </w:tcBorders>
            <w:shd w:val="clear" w:color="auto" w:fill="C6E0B4"/>
            <w:vAlign w:val="bottom"/>
          </w:tcPr>
          <w:p w14:paraId="3D38FF5D" w14:textId="77777777" w:rsidR="00AD3A74" w:rsidRPr="00AD3A74" w:rsidRDefault="00AD3A74" w:rsidP="00671F58">
            <w:pPr>
              <w:jc w:val="right"/>
              <w:rPr>
                <w:color w:val="000000"/>
                <w:sz w:val="22"/>
                <w:szCs w:val="22"/>
              </w:rPr>
            </w:pPr>
            <w:r w:rsidRPr="00AD3A74">
              <w:rPr>
                <w:color w:val="000000"/>
                <w:sz w:val="22"/>
                <w:szCs w:val="22"/>
              </w:rPr>
              <w:t>317,63</w:t>
            </w:r>
          </w:p>
        </w:tc>
        <w:tc>
          <w:tcPr>
            <w:tcW w:w="1132" w:type="dxa"/>
            <w:tcBorders>
              <w:top w:val="nil"/>
              <w:left w:val="nil"/>
              <w:bottom w:val="single" w:sz="4" w:space="0" w:color="000000"/>
              <w:right w:val="single" w:sz="4" w:space="0" w:color="000000"/>
            </w:tcBorders>
            <w:shd w:val="clear" w:color="auto" w:fill="C6E0B4"/>
            <w:vAlign w:val="bottom"/>
          </w:tcPr>
          <w:p w14:paraId="4EA9608F" w14:textId="77777777" w:rsidR="00AD3A74" w:rsidRPr="00AD3A74" w:rsidRDefault="00AD3A74" w:rsidP="00671F58">
            <w:pPr>
              <w:jc w:val="right"/>
              <w:rPr>
                <w:color w:val="000000"/>
                <w:sz w:val="22"/>
                <w:szCs w:val="22"/>
              </w:rPr>
            </w:pPr>
            <w:r w:rsidRPr="00AD3A74">
              <w:rPr>
                <w:color w:val="000000"/>
                <w:sz w:val="22"/>
                <w:szCs w:val="22"/>
              </w:rPr>
              <w:t>0,32</w:t>
            </w:r>
          </w:p>
        </w:tc>
        <w:tc>
          <w:tcPr>
            <w:tcW w:w="1339" w:type="dxa"/>
            <w:tcBorders>
              <w:top w:val="nil"/>
              <w:left w:val="nil"/>
              <w:bottom w:val="single" w:sz="4" w:space="0" w:color="000000"/>
              <w:right w:val="single" w:sz="4" w:space="0" w:color="000000"/>
            </w:tcBorders>
            <w:shd w:val="clear" w:color="auto" w:fill="C6E0B4"/>
            <w:vAlign w:val="bottom"/>
          </w:tcPr>
          <w:p w14:paraId="52EA3C9E" w14:textId="77777777" w:rsidR="00AD3A74" w:rsidRPr="00AD3A74" w:rsidRDefault="00AD3A74" w:rsidP="00671F58">
            <w:pPr>
              <w:jc w:val="right"/>
              <w:rPr>
                <w:color w:val="000000"/>
                <w:sz w:val="22"/>
                <w:szCs w:val="22"/>
              </w:rPr>
            </w:pPr>
            <w:r w:rsidRPr="00AD3A74">
              <w:rPr>
                <w:color w:val="000000"/>
                <w:sz w:val="22"/>
                <w:szCs w:val="22"/>
              </w:rPr>
              <w:t>0,31</w:t>
            </w:r>
          </w:p>
        </w:tc>
        <w:tc>
          <w:tcPr>
            <w:tcW w:w="1276" w:type="dxa"/>
            <w:tcBorders>
              <w:top w:val="nil"/>
              <w:left w:val="nil"/>
              <w:bottom w:val="single" w:sz="4" w:space="0" w:color="000000"/>
              <w:right w:val="nil"/>
            </w:tcBorders>
            <w:shd w:val="clear" w:color="auto" w:fill="C6E0B4"/>
            <w:vAlign w:val="bottom"/>
          </w:tcPr>
          <w:p w14:paraId="7F245E19" w14:textId="77777777" w:rsidR="00AD3A74" w:rsidRPr="00AD3A74" w:rsidRDefault="00AD3A74" w:rsidP="00671F58">
            <w:pPr>
              <w:jc w:val="right"/>
              <w:rPr>
                <w:color w:val="000000"/>
                <w:sz w:val="22"/>
                <w:szCs w:val="22"/>
              </w:rPr>
            </w:pPr>
            <w:r w:rsidRPr="00AD3A74">
              <w:rPr>
                <w:color w:val="000000"/>
                <w:sz w:val="22"/>
                <w:szCs w:val="22"/>
              </w:rPr>
              <w:t>1,040</w:t>
            </w:r>
          </w:p>
        </w:tc>
      </w:tr>
      <w:tr w:rsidR="00AD3A74" w:rsidRPr="00AD3A74" w14:paraId="5136A58B" w14:textId="77777777" w:rsidTr="00226FE5">
        <w:trPr>
          <w:trHeight w:val="300"/>
        </w:trPr>
        <w:tc>
          <w:tcPr>
            <w:tcW w:w="960" w:type="dxa"/>
            <w:tcBorders>
              <w:top w:val="nil"/>
              <w:left w:val="nil"/>
              <w:bottom w:val="single" w:sz="4" w:space="0" w:color="000000"/>
              <w:right w:val="single" w:sz="4" w:space="0" w:color="000000"/>
            </w:tcBorders>
            <w:shd w:val="clear" w:color="auto" w:fill="C6E0B4"/>
            <w:vAlign w:val="bottom"/>
          </w:tcPr>
          <w:p w14:paraId="3C32EAFD" w14:textId="77777777" w:rsidR="00AD3A74" w:rsidRPr="00AD3A74" w:rsidRDefault="00AD3A74" w:rsidP="00671F58">
            <w:pPr>
              <w:jc w:val="right"/>
              <w:rPr>
                <w:color w:val="000000"/>
                <w:sz w:val="22"/>
                <w:szCs w:val="22"/>
              </w:rPr>
            </w:pPr>
            <w:r w:rsidRPr="00AD3A74">
              <w:rPr>
                <w:color w:val="000000"/>
                <w:sz w:val="22"/>
                <w:szCs w:val="22"/>
              </w:rPr>
              <w:t>2020</w:t>
            </w:r>
          </w:p>
        </w:tc>
        <w:tc>
          <w:tcPr>
            <w:tcW w:w="1308" w:type="dxa"/>
            <w:tcBorders>
              <w:top w:val="nil"/>
              <w:left w:val="nil"/>
              <w:bottom w:val="single" w:sz="4" w:space="0" w:color="000000"/>
              <w:right w:val="single" w:sz="4" w:space="0" w:color="000000"/>
            </w:tcBorders>
            <w:shd w:val="clear" w:color="auto" w:fill="C6E0B4"/>
            <w:vAlign w:val="bottom"/>
          </w:tcPr>
          <w:p w14:paraId="086DD111" w14:textId="77777777" w:rsidR="00AD3A74" w:rsidRPr="00AD3A74" w:rsidRDefault="00AD3A74" w:rsidP="00671F58">
            <w:pPr>
              <w:jc w:val="right"/>
              <w:rPr>
                <w:color w:val="000000"/>
                <w:sz w:val="22"/>
                <w:szCs w:val="22"/>
              </w:rPr>
            </w:pPr>
            <w:r w:rsidRPr="00AD3A74">
              <w:rPr>
                <w:color w:val="000000"/>
                <w:sz w:val="22"/>
                <w:szCs w:val="22"/>
              </w:rPr>
              <w:t>338480</w:t>
            </w:r>
          </w:p>
        </w:tc>
        <w:tc>
          <w:tcPr>
            <w:tcW w:w="1181" w:type="dxa"/>
            <w:tcBorders>
              <w:top w:val="nil"/>
              <w:left w:val="nil"/>
              <w:bottom w:val="single" w:sz="4" w:space="0" w:color="000000"/>
              <w:right w:val="single" w:sz="4" w:space="0" w:color="000000"/>
            </w:tcBorders>
            <w:shd w:val="clear" w:color="auto" w:fill="C6E0B4"/>
            <w:vAlign w:val="bottom"/>
          </w:tcPr>
          <w:p w14:paraId="77FA34E4" w14:textId="77777777" w:rsidR="00AD3A74" w:rsidRPr="00AD3A74" w:rsidRDefault="00AD3A74" w:rsidP="00671F58">
            <w:pPr>
              <w:jc w:val="right"/>
              <w:rPr>
                <w:color w:val="000000"/>
                <w:sz w:val="22"/>
                <w:szCs w:val="22"/>
              </w:rPr>
            </w:pPr>
            <w:r w:rsidRPr="00AD3A74">
              <w:rPr>
                <w:color w:val="000000"/>
                <w:sz w:val="22"/>
                <w:szCs w:val="22"/>
              </w:rPr>
              <w:t>92,18</w:t>
            </w:r>
          </w:p>
        </w:tc>
        <w:tc>
          <w:tcPr>
            <w:tcW w:w="1134" w:type="dxa"/>
            <w:tcBorders>
              <w:top w:val="nil"/>
              <w:left w:val="nil"/>
              <w:bottom w:val="single" w:sz="4" w:space="0" w:color="000000"/>
              <w:right w:val="single" w:sz="4" w:space="0" w:color="000000"/>
            </w:tcBorders>
            <w:shd w:val="clear" w:color="auto" w:fill="C6E0B4"/>
            <w:vAlign w:val="bottom"/>
          </w:tcPr>
          <w:p w14:paraId="54CC061D" w14:textId="77777777" w:rsidR="00AD3A74" w:rsidRPr="00AD3A74" w:rsidRDefault="00AD3A74" w:rsidP="00671F58">
            <w:pPr>
              <w:jc w:val="right"/>
              <w:rPr>
                <w:color w:val="000000"/>
                <w:sz w:val="22"/>
                <w:szCs w:val="22"/>
              </w:rPr>
            </w:pPr>
            <w:r w:rsidRPr="00AD3A74">
              <w:rPr>
                <w:color w:val="000000"/>
                <w:sz w:val="22"/>
                <w:szCs w:val="22"/>
              </w:rPr>
              <w:t>292,14</w:t>
            </w:r>
          </w:p>
        </w:tc>
        <w:tc>
          <w:tcPr>
            <w:tcW w:w="1087" w:type="dxa"/>
            <w:tcBorders>
              <w:top w:val="nil"/>
              <w:left w:val="nil"/>
              <w:bottom w:val="single" w:sz="4" w:space="0" w:color="000000"/>
              <w:right w:val="single" w:sz="4" w:space="0" w:color="000000"/>
            </w:tcBorders>
            <w:shd w:val="clear" w:color="auto" w:fill="C6E0B4"/>
            <w:vAlign w:val="bottom"/>
          </w:tcPr>
          <w:p w14:paraId="321366F8" w14:textId="77777777" w:rsidR="00AD3A74" w:rsidRPr="00AD3A74" w:rsidRDefault="00AD3A74" w:rsidP="00671F58">
            <w:pPr>
              <w:jc w:val="right"/>
              <w:rPr>
                <w:color w:val="000000"/>
                <w:sz w:val="22"/>
                <w:szCs w:val="22"/>
              </w:rPr>
            </w:pPr>
            <w:r w:rsidRPr="00AD3A74">
              <w:rPr>
                <w:color w:val="000000"/>
                <w:sz w:val="22"/>
                <w:szCs w:val="22"/>
              </w:rPr>
              <w:t>312,46</w:t>
            </w:r>
          </w:p>
        </w:tc>
        <w:tc>
          <w:tcPr>
            <w:tcW w:w="1132" w:type="dxa"/>
            <w:tcBorders>
              <w:top w:val="nil"/>
              <w:left w:val="nil"/>
              <w:bottom w:val="single" w:sz="4" w:space="0" w:color="000000"/>
              <w:right w:val="single" w:sz="4" w:space="0" w:color="000000"/>
            </w:tcBorders>
            <w:shd w:val="clear" w:color="auto" w:fill="C6E0B4"/>
            <w:vAlign w:val="bottom"/>
          </w:tcPr>
          <w:p w14:paraId="2D62092B" w14:textId="77777777" w:rsidR="00AD3A74" w:rsidRPr="00AD3A74" w:rsidRDefault="00AD3A74" w:rsidP="00671F58">
            <w:pPr>
              <w:jc w:val="right"/>
              <w:rPr>
                <w:color w:val="000000"/>
                <w:sz w:val="22"/>
                <w:szCs w:val="22"/>
              </w:rPr>
            </w:pPr>
            <w:r w:rsidRPr="00AD3A74">
              <w:rPr>
                <w:color w:val="000000"/>
                <w:sz w:val="22"/>
                <w:szCs w:val="22"/>
              </w:rPr>
              <w:t>0,32</w:t>
            </w:r>
          </w:p>
        </w:tc>
        <w:tc>
          <w:tcPr>
            <w:tcW w:w="1339" w:type="dxa"/>
            <w:tcBorders>
              <w:top w:val="nil"/>
              <w:left w:val="nil"/>
              <w:bottom w:val="single" w:sz="4" w:space="0" w:color="000000"/>
              <w:right w:val="single" w:sz="4" w:space="0" w:color="000000"/>
            </w:tcBorders>
            <w:shd w:val="clear" w:color="auto" w:fill="C6E0B4"/>
            <w:vAlign w:val="bottom"/>
          </w:tcPr>
          <w:p w14:paraId="25067EA1" w14:textId="77777777" w:rsidR="00AD3A74" w:rsidRPr="00AD3A74" w:rsidRDefault="00AD3A74" w:rsidP="00671F58">
            <w:pPr>
              <w:jc w:val="right"/>
              <w:rPr>
                <w:color w:val="000000"/>
                <w:sz w:val="22"/>
                <w:szCs w:val="22"/>
              </w:rPr>
            </w:pPr>
            <w:r w:rsidRPr="00AD3A74">
              <w:rPr>
                <w:color w:val="000000"/>
                <w:sz w:val="22"/>
                <w:szCs w:val="22"/>
              </w:rPr>
              <w:t>0,30</w:t>
            </w:r>
          </w:p>
        </w:tc>
        <w:tc>
          <w:tcPr>
            <w:tcW w:w="1276" w:type="dxa"/>
            <w:tcBorders>
              <w:top w:val="nil"/>
              <w:left w:val="nil"/>
              <w:bottom w:val="single" w:sz="4" w:space="0" w:color="000000"/>
              <w:right w:val="nil"/>
            </w:tcBorders>
            <w:shd w:val="clear" w:color="auto" w:fill="C6E0B4"/>
            <w:vAlign w:val="bottom"/>
          </w:tcPr>
          <w:p w14:paraId="0534AF53" w14:textId="77777777" w:rsidR="00AD3A74" w:rsidRPr="00AD3A74" w:rsidRDefault="00AD3A74" w:rsidP="00671F58">
            <w:pPr>
              <w:jc w:val="right"/>
              <w:rPr>
                <w:color w:val="000000"/>
                <w:sz w:val="22"/>
                <w:szCs w:val="22"/>
              </w:rPr>
            </w:pPr>
            <w:r w:rsidRPr="00AD3A74">
              <w:rPr>
                <w:color w:val="000000"/>
                <w:sz w:val="22"/>
                <w:szCs w:val="22"/>
              </w:rPr>
              <w:t>1,070</w:t>
            </w:r>
          </w:p>
        </w:tc>
      </w:tr>
      <w:tr w:rsidR="00AD3A74" w:rsidRPr="00AD3A74" w14:paraId="0D2DFCE6" w14:textId="77777777" w:rsidTr="00226FE5">
        <w:trPr>
          <w:trHeight w:val="300"/>
        </w:trPr>
        <w:tc>
          <w:tcPr>
            <w:tcW w:w="960" w:type="dxa"/>
            <w:tcBorders>
              <w:top w:val="nil"/>
              <w:left w:val="nil"/>
              <w:bottom w:val="single" w:sz="4" w:space="0" w:color="000000"/>
              <w:right w:val="single" w:sz="4" w:space="0" w:color="000000"/>
            </w:tcBorders>
            <w:shd w:val="clear" w:color="auto" w:fill="E7E6E6"/>
            <w:vAlign w:val="bottom"/>
          </w:tcPr>
          <w:p w14:paraId="3879ADA6" w14:textId="77777777" w:rsidR="00AD3A74" w:rsidRPr="00AD3A74" w:rsidRDefault="00AD3A74" w:rsidP="00671F58">
            <w:pPr>
              <w:jc w:val="right"/>
              <w:rPr>
                <w:color w:val="000000"/>
                <w:sz w:val="22"/>
                <w:szCs w:val="22"/>
              </w:rPr>
            </w:pPr>
            <w:r w:rsidRPr="00AD3A74">
              <w:rPr>
                <w:color w:val="000000"/>
                <w:sz w:val="22"/>
                <w:szCs w:val="22"/>
              </w:rPr>
              <w:t>2021</w:t>
            </w:r>
          </w:p>
        </w:tc>
        <w:tc>
          <w:tcPr>
            <w:tcW w:w="1308" w:type="dxa"/>
            <w:tcBorders>
              <w:top w:val="nil"/>
              <w:left w:val="nil"/>
              <w:bottom w:val="single" w:sz="4" w:space="0" w:color="000000"/>
              <w:right w:val="single" w:sz="4" w:space="0" w:color="000000"/>
            </w:tcBorders>
            <w:shd w:val="clear" w:color="auto" w:fill="E7E6E6"/>
            <w:vAlign w:val="bottom"/>
          </w:tcPr>
          <w:p w14:paraId="2F077F37" w14:textId="77777777" w:rsidR="00AD3A74" w:rsidRPr="00AD3A74" w:rsidRDefault="00AD3A74" w:rsidP="00671F58">
            <w:pPr>
              <w:jc w:val="right"/>
              <w:rPr>
                <w:color w:val="000000"/>
                <w:sz w:val="22"/>
                <w:szCs w:val="22"/>
              </w:rPr>
            </w:pPr>
            <w:r w:rsidRPr="00AD3A74">
              <w:rPr>
                <w:color w:val="000000"/>
                <w:sz w:val="22"/>
                <w:szCs w:val="22"/>
              </w:rPr>
              <w:t>341128</w:t>
            </w:r>
          </w:p>
        </w:tc>
        <w:tc>
          <w:tcPr>
            <w:tcW w:w="1181" w:type="dxa"/>
            <w:tcBorders>
              <w:top w:val="nil"/>
              <w:left w:val="nil"/>
              <w:bottom w:val="single" w:sz="4" w:space="0" w:color="000000"/>
              <w:right w:val="single" w:sz="4" w:space="0" w:color="000000"/>
            </w:tcBorders>
            <w:shd w:val="clear" w:color="auto" w:fill="E7E6E6"/>
            <w:vAlign w:val="bottom"/>
          </w:tcPr>
          <w:p w14:paraId="4DA82683" w14:textId="77777777" w:rsidR="00AD3A74" w:rsidRPr="00AD3A74" w:rsidRDefault="00AD3A74" w:rsidP="00671F58">
            <w:pPr>
              <w:jc w:val="right"/>
              <w:rPr>
                <w:color w:val="000000"/>
                <w:sz w:val="22"/>
                <w:szCs w:val="22"/>
              </w:rPr>
            </w:pPr>
            <w:r w:rsidRPr="00AD3A74">
              <w:rPr>
                <w:color w:val="000000"/>
                <w:sz w:val="22"/>
                <w:szCs w:val="22"/>
              </w:rPr>
              <w:t>134,21</w:t>
            </w:r>
          </w:p>
        </w:tc>
        <w:tc>
          <w:tcPr>
            <w:tcW w:w="1134" w:type="dxa"/>
            <w:tcBorders>
              <w:top w:val="nil"/>
              <w:left w:val="nil"/>
              <w:bottom w:val="single" w:sz="4" w:space="0" w:color="000000"/>
              <w:right w:val="single" w:sz="4" w:space="0" w:color="000000"/>
            </w:tcBorders>
            <w:shd w:val="clear" w:color="auto" w:fill="E7E6E6"/>
            <w:vAlign w:val="bottom"/>
          </w:tcPr>
          <w:p w14:paraId="46DA5F02" w14:textId="77777777" w:rsidR="00AD3A74" w:rsidRPr="00AD3A74" w:rsidRDefault="00AD3A74" w:rsidP="00671F58">
            <w:pPr>
              <w:jc w:val="right"/>
              <w:rPr>
                <w:color w:val="000000"/>
                <w:sz w:val="22"/>
                <w:szCs w:val="22"/>
              </w:rPr>
            </w:pPr>
            <w:r w:rsidRPr="00AD3A74">
              <w:rPr>
                <w:color w:val="000000"/>
                <w:sz w:val="22"/>
                <w:szCs w:val="22"/>
              </w:rPr>
              <w:t>357,73</w:t>
            </w:r>
          </w:p>
        </w:tc>
        <w:tc>
          <w:tcPr>
            <w:tcW w:w="1087" w:type="dxa"/>
            <w:tcBorders>
              <w:top w:val="nil"/>
              <w:left w:val="nil"/>
              <w:bottom w:val="single" w:sz="4" w:space="0" w:color="000000"/>
              <w:right w:val="single" w:sz="4" w:space="0" w:color="000000"/>
            </w:tcBorders>
            <w:shd w:val="clear" w:color="auto" w:fill="E7E6E6"/>
            <w:vAlign w:val="bottom"/>
          </w:tcPr>
          <w:p w14:paraId="427BAD63" w14:textId="77777777" w:rsidR="00AD3A74" w:rsidRPr="00AD3A74" w:rsidRDefault="00AD3A74" w:rsidP="00671F58">
            <w:pPr>
              <w:jc w:val="right"/>
              <w:rPr>
                <w:color w:val="000000"/>
                <w:sz w:val="22"/>
                <w:szCs w:val="22"/>
              </w:rPr>
            </w:pPr>
            <w:r w:rsidRPr="00AD3A74">
              <w:rPr>
                <w:color w:val="000000"/>
                <w:sz w:val="22"/>
                <w:szCs w:val="22"/>
              </w:rPr>
              <w:t>391,78</w:t>
            </w:r>
          </w:p>
        </w:tc>
        <w:tc>
          <w:tcPr>
            <w:tcW w:w="1132" w:type="dxa"/>
            <w:tcBorders>
              <w:top w:val="nil"/>
              <w:left w:val="nil"/>
              <w:bottom w:val="single" w:sz="4" w:space="0" w:color="000000"/>
              <w:right w:val="single" w:sz="4" w:space="0" w:color="000000"/>
            </w:tcBorders>
            <w:shd w:val="clear" w:color="auto" w:fill="E7E6E6"/>
            <w:vAlign w:val="bottom"/>
          </w:tcPr>
          <w:p w14:paraId="1DB78AC1" w14:textId="77777777" w:rsidR="00AD3A74" w:rsidRPr="00AD3A74" w:rsidRDefault="00AD3A74" w:rsidP="00671F58">
            <w:pPr>
              <w:jc w:val="right"/>
              <w:rPr>
                <w:color w:val="000000"/>
                <w:sz w:val="22"/>
                <w:szCs w:val="22"/>
              </w:rPr>
            </w:pPr>
            <w:r w:rsidRPr="00AD3A74">
              <w:rPr>
                <w:color w:val="000000"/>
                <w:sz w:val="22"/>
                <w:szCs w:val="22"/>
              </w:rPr>
              <w:t>0,38</w:t>
            </w:r>
          </w:p>
        </w:tc>
        <w:tc>
          <w:tcPr>
            <w:tcW w:w="1339" w:type="dxa"/>
            <w:tcBorders>
              <w:top w:val="nil"/>
              <w:left w:val="nil"/>
              <w:bottom w:val="single" w:sz="4" w:space="0" w:color="000000"/>
              <w:right w:val="single" w:sz="4" w:space="0" w:color="000000"/>
            </w:tcBorders>
            <w:shd w:val="clear" w:color="auto" w:fill="E7E6E6"/>
            <w:vAlign w:val="bottom"/>
          </w:tcPr>
          <w:p w14:paraId="2552D526" w14:textId="77777777" w:rsidR="00AD3A74" w:rsidRPr="00AD3A74" w:rsidRDefault="00AD3A74" w:rsidP="00671F58">
            <w:pPr>
              <w:jc w:val="right"/>
              <w:rPr>
                <w:color w:val="000000"/>
                <w:sz w:val="22"/>
                <w:szCs w:val="22"/>
              </w:rPr>
            </w:pPr>
            <w:r w:rsidRPr="00AD3A74">
              <w:rPr>
                <w:color w:val="000000"/>
                <w:sz w:val="22"/>
                <w:szCs w:val="22"/>
              </w:rPr>
              <w:t>0,34</w:t>
            </w:r>
          </w:p>
        </w:tc>
        <w:tc>
          <w:tcPr>
            <w:tcW w:w="1276" w:type="dxa"/>
            <w:tcBorders>
              <w:top w:val="nil"/>
              <w:left w:val="nil"/>
              <w:bottom w:val="single" w:sz="4" w:space="0" w:color="000000"/>
              <w:right w:val="nil"/>
            </w:tcBorders>
            <w:shd w:val="clear" w:color="auto" w:fill="E7E6E6"/>
            <w:vAlign w:val="bottom"/>
          </w:tcPr>
          <w:p w14:paraId="75C7CDC5" w14:textId="77777777" w:rsidR="00AD3A74" w:rsidRPr="00AD3A74" w:rsidRDefault="00AD3A74" w:rsidP="00671F58">
            <w:pPr>
              <w:jc w:val="right"/>
              <w:rPr>
                <w:color w:val="000000"/>
                <w:sz w:val="22"/>
                <w:szCs w:val="22"/>
              </w:rPr>
            </w:pPr>
            <w:r w:rsidRPr="00AD3A74">
              <w:rPr>
                <w:color w:val="000000"/>
                <w:sz w:val="22"/>
                <w:szCs w:val="22"/>
              </w:rPr>
              <w:t>1,095</w:t>
            </w:r>
          </w:p>
        </w:tc>
      </w:tr>
      <w:tr w:rsidR="00AD3A74" w:rsidRPr="00AD3A74" w14:paraId="07114F15" w14:textId="77777777" w:rsidTr="00226FE5">
        <w:trPr>
          <w:trHeight w:val="300"/>
        </w:trPr>
        <w:tc>
          <w:tcPr>
            <w:tcW w:w="960" w:type="dxa"/>
            <w:tcBorders>
              <w:top w:val="nil"/>
              <w:left w:val="nil"/>
              <w:bottom w:val="single" w:sz="4" w:space="0" w:color="000000"/>
              <w:right w:val="single" w:sz="4" w:space="0" w:color="000000"/>
            </w:tcBorders>
            <w:shd w:val="clear" w:color="auto" w:fill="E7E6E6"/>
            <w:vAlign w:val="bottom"/>
          </w:tcPr>
          <w:p w14:paraId="384BC09F" w14:textId="77777777" w:rsidR="00AD3A74" w:rsidRPr="00AD3A74" w:rsidRDefault="00AD3A74" w:rsidP="00671F58">
            <w:pPr>
              <w:jc w:val="right"/>
              <w:rPr>
                <w:color w:val="000000"/>
                <w:sz w:val="22"/>
                <w:szCs w:val="22"/>
              </w:rPr>
            </w:pPr>
            <w:r w:rsidRPr="00AD3A74">
              <w:rPr>
                <w:color w:val="000000"/>
                <w:sz w:val="22"/>
                <w:szCs w:val="22"/>
              </w:rPr>
              <w:t>2022</w:t>
            </w:r>
          </w:p>
        </w:tc>
        <w:tc>
          <w:tcPr>
            <w:tcW w:w="1308" w:type="dxa"/>
            <w:tcBorders>
              <w:top w:val="nil"/>
              <w:left w:val="nil"/>
              <w:bottom w:val="single" w:sz="4" w:space="0" w:color="000000"/>
              <w:right w:val="single" w:sz="4" w:space="0" w:color="000000"/>
            </w:tcBorders>
            <w:shd w:val="clear" w:color="auto" w:fill="E7E6E6"/>
            <w:vAlign w:val="bottom"/>
          </w:tcPr>
          <w:p w14:paraId="4D296F06" w14:textId="77777777" w:rsidR="00AD3A74" w:rsidRPr="00AD3A74" w:rsidRDefault="00AD3A74" w:rsidP="00671F58">
            <w:pPr>
              <w:jc w:val="right"/>
              <w:rPr>
                <w:color w:val="000000"/>
                <w:sz w:val="22"/>
                <w:szCs w:val="22"/>
              </w:rPr>
            </w:pPr>
            <w:r w:rsidRPr="00AD3A74">
              <w:rPr>
                <w:color w:val="000000"/>
                <w:sz w:val="22"/>
                <w:szCs w:val="22"/>
              </w:rPr>
              <w:t>343643</w:t>
            </w:r>
          </w:p>
        </w:tc>
        <w:tc>
          <w:tcPr>
            <w:tcW w:w="1181" w:type="dxa"/>
            <w:tcBorders>
              <w:top w:val="nil"/>
              <w:left w:val="nil"/>
              <w:bottom w:val="single" w:sz="4" w:space="0" w:color="000000"/>
              <w:right w:val="single" w:sz="4" w:space="0" w:color="000000"/>
            </w:tcBorders>
            <w:shd w:val="clear" w:color="auto" w:fill="E7E6E6"/>
            <w:vAlign w:val="bottom"/>
          </w:tcPr>
          <w:p w14:paraId="49951C29" w14:textId="77777777" w:rsidR="00AD3A74" w:rsidRPr="00AD3A74" w:rsidRDefault="00AD3A74" w:rsidP="00671F58">
            <w:pPr>
              <w:jc w:val="right"/>
              <w:rPr>
                <w:color w:val="000000"/>
                <w:sz w:val="22"/>
                <w:szCs w:val="22"/>
              </w:rPr>
            </w:pPr>
            <w:r w:rsidRPr="00AD3A74">
              <w:rPr>
                <w:color w:val="000000"/>
                <w:sz w:val="22"/>
                <w:szCs w:val="22"/>
              </w:rPr>
              <w:t>132,75</w:t>
            </w:r>
          </w:p>
        </w:tc>
        <w:tc>
          <w:tcPr>
            <w:tcW w:w="1134" w:type="dxa"/>
            <w:tcBorders>
              <w:top w:val="nil"/>
              <w:left w:val="nil"/>
              <w:bottom w:val="single" w:sz="4" w:space="0" w:color="000000"/>
              <w:right w:val="single" w:sz="4" w:space="0" w:color="000000"/>
            </w:tcBorders>
            <w:shd w:val="clear" w:color="auto" w:fill="E7E6E6"/>
            <w:vAlign w:val="bottom"/>
          </w:tcPr>
          <w:p w14:paraId="786628B5" w14:textId="77777777" w:rsidR="00AD3A74" w:rsidRPr="00AD3A74" w:rsidRDefault="00AD3A74" w:rsidP="00671F58">
            <w:pPr>
              <w:jc w:val="right"/>
              <w:rPr>
                <w:color w:val="000000"/>
                <w:sz w:val="22"/>
                <w:szCs w:val="22"/>
              </w:rPr>
            </w:pPr>
            <w:r w:rsidRPr="00AD3A74">
              <w:rPr>
                <w:color w:val="000000"/>
                <w:sz w:val="22"/>
                <w:szCs w:val="22"/>
              </w:rPr>
              <w:t>443,90</w:t>
            </w:r>
          </w:p>
        </w:tc>
        <w:tc>
          <w:tcPr>
            <w:tcW w:w="1087" w:type="dxa"/>
            <w:tcBorders>
              <w:top w:val="nil"/>
              <w:left w:val="nil"/>
              <w:bottom w:val="single" w:sz="4" w:space="0" w:color="000000"/>
              <w:right w:val="single" w:sz="4" w:space="0" w:color="000000"/>
            </w:tcBorders>
            <w:shd w:val="clear" w:color="auto" w:fill="E7E6E6"/>
            <w:vAlign w:val="bottom"/>
          </w:tcPr>
          <w:p w14:paraId="0234A377" w14:textId="77777777" w:rsidR="00AD3A74" w:rsidRPr="00AD3A74" w:rsidRDefault="00AD3A74" w:rsidP="00671F58">
            <w:pPr>
              <w:jc w:val="right"/>
              <w:rPr>
                <w:color w:val="000000"/>
                <w:sz w:val="22"/>
                <w:szCs w:val="22"/>
              </w:rPr>
            </w:pPr>
            <w:r w:rsidRPr="00AD3A74">
              <w:rPr>
                <w:color w:val="000000"/>
                <w:sz w:val="22"/>
                <w:szCs w:val="22"/>
              </w:rPr>
              <w:t>432,86</w:t>
            </w:r>
          </w:p>
        </w:tc>
        <w:tc>
          <w:tcPr>
            <w:tcW w:w="1132" w:type="dxa"/>
            <w:tcBorders>
              <w:top w:val="nil"/>
              <w:left w:val="nil"/>
              <w:bottom w:val="single" w:sz="4" w:space="0" w:color="000000"/>
              <w:right w:val="single" w:sz="4" w:space="0" w:color="000000"/>
            </w:tcBorders>
            <w:shd w:val="clear" w:color="auto" w:fill="E7E6E6"/>
            <w:vAlign w:val="bottom"/>
          </w:tcPr>
          <w:p w14:paraId="386FBB83" w14:textId="77777777" w:rsidR="00AD3A74" w:rsidRPr="00AD3A74" w:rsidRDefault="00AD3A74" w:rsidP="00671F58">
            <w:pPr>
              <w:jc w:val="right"/>
              <w:rPr>
                <w:color w:val="000000"/>
                <w:sz w:val="22"/>
                <w:szCs w:val="22"/>
              </w:rPr>
            </w:pPr>
            <w:r w:rsidRPr="00AD3A74">
              <w:rPr>
                <w:color w:val="000000"/>
                <w:sz w:val="22"/>
                <w:szCs w:val="22"/>
              </w:rPr>
              <w:t>0,30</w:t>
            </w:r>
          </w:p>
        </w:tc>
        <w:tc>
          <w:tcPr>
            <w:tcW w:w="1339" w:type="dxa"/>
            <w:tcBorders>
              <w:top w:val="nil"/>
              <w:left w:val="nil"/>
              <w:bottom w:val="single" w:sz="4" w:space="0" w:color="000000"/>
              <w:right w:val="single" w:sz="4" w:space="0" w:color="000000"/>
            </w:tcBorders>
            <w:shd w:val="clear" w:color="auto" w:fill="E7E6E6"/>
            <w:vAlign w:val="bottom"/>
          </w:tcPr>
          <w:p w14:paraId="31795BAC" w14:textId="77777777" w:rsidR="00AD3A74" w:rsidRPr="00AD3A74" w:rsidRDefault="00AD3A74" w:rsidP="00671F58">
            <w:pPr>
              <w:jc w:val="right"/>
              <w:rPr>
                <w:color w:val="000000"/>
                <w:sz w:val="22"/>
                <w:szCs w:val="22"/>
              </w:rPr>
            </w:pPr>
            <w:r w:rsidRPr="00AD3A74">
              <w:rPr>
                <w:color w:val="000000"/>
                <w:sz w:val="22"/>
                <w:szCs w:val="22"/>
              </w:rPr>
              <w:t>0,31</w:t>
            </w:r>
          </w:p>
        </w:tc>
        <w:tc>
          <w:tcPr>
            <w:tcW w:w="1276" w:type="dxa"/>
            <w:tcBorders>
              <w:top w:val="nil"/>
              <w:left w:val="nil"/>
              <w:bottom w:val="single" w:sz="4" w:space="0" w:color="000000"/>
              <w:right w:val="nil"/>
            </w:tcBorders>
            <w:shd w:val="clear" w:color="auto" w:fill="E7E6E6"/>
            <w:vAlign w:val="bottom"/>
          </w:tcPr>
          <w:p w14:paraId="17BEA01E" w14:textId="77777777" w:rsidR="00AD3A74" w:rsidRPr="00AD3A74" w:rsidRDefault="00AD3A74" w:rsidP="00671F58">
            <w:pPr>
              <w:jc w:val="right"/>
              <w:rPr>
                <w:color w:val="000000"/>
                <w:sz w:val="22"/>
                <w:szCs w:val="22"/>
              </w:rPr>
            </w:pPr>
            <w:r w:rsidRPr="00AD3A74">
              <w:rPr>
                <w:color w:val="000000"/>
                <w:sz w:val="22"/>
                <w:szCs w:val="22"/>
              </w:rPr>
              <w:t>0,975</w:t>
            </w:r>
          </w:p>
        </w:tc>
      </w:tr>
      <w:tr w:rsidR="00AD3A74" w:rsidRPr="00AD3A74" w14:paraId="72D568B4" w14:textId="77777777" w:rsidTr="00226FE5">
        <w:trPr>
          <w:trHeight w:val="300"/>
        </w:trPr>
        <w:tc>
          <w:tcPr>
            <w:tcW w:w="960" w:type="dxa"/>
            <w:tcBorders>
              <w:top w:val="nil"/>
              <w:left w:val="nil"/>
              <w:bottom w:val="single" w:sz="4" w:space="0" w:color="000000"/>
              <w:right w:val="single" w:sz="4" w:space="0" w:color="000000"/>
            </w:tcBorders>
            <w:shd w:val="clear" w:color="auto" w:fill="E7E6E6"/>
            <w:vAlign w:val="bottom"/>
          </w:tcPr>
          <w:p w14:paraId="3E13843D" w14:textId="77777777" w:rsidR="00AD3A74" w:rsidRPr="00AD3A74" w:rsidRDefault="00AD3A74" w:rsidP="00671F58">
            <w:pPr>
              <w:jc w:val="right"/>
              <w:rPr>
                <w:color w:val="000000"/>
                <w:sz w:val="22"/>
                <w:szCs w:val="22"/>
              </w:rPr>
            </w:pPr>
            <w:r w:rsidRPr="00AD3A74">
              <w:rPr>
                <w:color w:val="000000"/>
                <w:sz w:val="22"/>
                <w:szCs w:val="22"/>
              </w:rPr>
              <w:t>2023</w:t>
            </w:r>
          </w:p>
        </w:tc>
        <w:tc>
          <w:tcPr>
            <w:tcW w:w="1308" w:type="dxa"/>
            <w:tcBorders>
              <w:top w:val="nil"/>
              <w:left w:val="nil"/>
              <w:bottom w:val="single" w:sz="4" w:space="0" w:color="000000"/>
              <w:right w:val="single" w:sz="4" w:space="0" w:color="000000"/>
            </w:tcBorders>
            <w:shd w:val="clear" w:color="auto" w:fill="E7E6E6"/>
            <w:vAlign w:val="bottom"/>
          </w:tcPr>
          <w:p w14:paraId="0DC4E710" w14:textId="77777777" w:rsidR="00AD3A74" w:rsidRPr="00AD3A74" w:rsidRDefault="00AD3A74" w:rsidP="00671F58">
            <w:pPr>
              <w:jc w:val="right"/>
              <w:rPr>
                <w:color w:val="000000"/>
                <w:sz w:val="22"/>
                <w:szCs w:val="22"/>
              </w:rPr>
            </w:pPr>
            <w:r w:rsidRPr="00AD3A74">
              <w:rPr>
                <w:color w:val="000000"/>
                <w:sz w:val="22"/>
                <w:szCs w:val="22"/>
              </w:rPr>
              <w:t>343643</w:t>
            </w:r>
          </w:p>
        </w:tc>
        <w:tc>
          <w:tcPr>
            <w:tcW w:w="1181" w:type="dxa"/>
            <w:tcBorders>
              <w:top w:val="nil"/>
              <w:left w:val="nil"/>
              <w:bottom w:val="single" w:sz="4" w:space="0" w:color="000000"/>
              <w:right w:val="single" w:sz="4" w:space="0" w:color="000000"/>
            </w:tcBorders>
            <w:shd w:val="clear" w:color="auto" w:fill="E7E6E6"/>
            <w:vAlign w:val="bottom"/>
          </w:tcPr>
          <w:p w14:paraId="55E10E8D" w14:textId="77777777" w:rsidR="00AD3A74" w:rsidRPr="00AD3A74" w:rsidRDefault="00AD3A74" w:rsidP="00671F58">
            <w:pPr>
              <w:jc w:val="right"/>
              <w:rPr>
                <w:color w:val="000000"/>
                <w:sz w:val="22"/>
                <w:szCs w:val="22"/>
              </w:rPr>
            </w:pPr>
            <w:r w:rsidRPr="00AD3A74">
              <w:rPr>
                <w:color w:val="000000"/>
                <w:sz w:val="22"/>
                <w:szCs w:val="22"/>
              </w:rPr>
              <w:t>165,47</w:t>
            </w:r>
          </w:p>
        </w:tc>
        <w:tc>
          <w:tcPr>
            <w:tcW w:w="1134" w:type="dxa"/>
            <w:tcBorders>
              <w:top w:val="nil"/>
              <w:left w:val="nil"/>
              <w:bottom w:val="single" w:sz="4" w:space="0" w:color="000000"/>
              <w:right w:val="single" w:sz="4" w:space="0" w:color="000000"/>
            </w:tcBorders>
            <w:shd w:val="clear" w:color="auto" w:fill="E7E6E6"/>
            <w:vAlign w:val="bottom"/>
          </w:tcPr>
          <w:p w14:paraId="35F82AD7" w14:textId="77777777" w:rsidR="00AD3A74" w:rsidRPr="00AD3A74" w:rsidRDefault="00AD3A74" w:rsidP="00671F58">
            <w:pPr>
              <w:jc w:val="right"/>
              <w:rPr>
                <w:color w:val="000000"/>
                <w:sz w:val="22"/>
                <w:szCs w:val="22"/>
              </w:rPr>
            </w:pPr>
            <w:r w:rsidRPr="00AD3A74">
              <w:rPr>
                <w:color w:val="000000"/>
                <w:sz w:val="22"/>
                <w:szCs w:val="22"/>
              </w:rPr>
              <w:t>497,30</w:t>
            </w:r>
          </w:p>
        </w:tc>
        <w:tc>
          <w:tcPr>
            <w:tcW w:w="1087" w:type="dxa"/>
            <w:tcBorders>
              <w:top w:val="nil"/>
              <w:left w:val="nil"/>
              <w:bottom w:val="single" w:sz="4" w:space="0" w:color="000000"/>
              <w:right w:val="single" w:sz="4" w:space="0" w:color="000000"/>
            </w:tcBorders>
            <w:shd w:val="clear" w:color="auto" w:fill="E7E6E6"/>
            <w:vAlign w:val="bottom"/>
          </w:tcPr>
          <w:p w14:paraId="0C903800" w14:textId="77777777" w:rsidR="00AD3A74" w:rsidRPr="00AD3A74" w:rsidRDefault="00AD3A74" w:rsidP="00671F58">
            <w:pPr>
              <w:jc w:val="right"/>
              <w:rPr>
                <w:color w:val="000000"/>
                <w:sz w:val="22"/>
                <w:szCs w:val="22"/>
              </w:rPr>
            </w:pPr>
            <w:r w:rsidRPr="00AD3A74">
              <w:rPr>
                <w:color w:val="000000"/>
                <w:sz w:val="22"/>
                <w:szCs w:val="22"/>
              </w:rPr>
              <w:t>456,14</w:t>
            </w:r>
          </w:p>
        </w:tc>
        <w:tc>
          <w:tcPr>
            <w:tcW w:w="1132" w:type="dxa"/>
            <w:tcBorders>
              <w:top w:val="nil"/>
              <w:left w:val="nil"/>
              <w:bottom w:val="single" w:sz="4" w:space="0" w:color="000000"/>
              <w:right w:val="single" w:sz="4" w:space="0" w:color="000000"/>
            </w:tcBorders>
            <w:shd w:val="clear" w:color="auto" w:fill="E7E6E6"/>
            <w:vAlign w:val="bottom"/>
          </w:tcPr>
          <w:p w14:paraId="13C10CD4" w14:textId="77777777" w:rsidR="00AD3A74" w:rsidRPr="00AD3A74" w:rsidRDefault="00AD3A74" w:rsidP="00671F58">
            <w:pPr>
              <w:jc w:val="right"/>
              <w:rPr>
                <w:color w:val="000000"/>
                <w:sz w:val="22"/>
                <w:szCs w:val="22"/>
              </w:rPr>
            </w:pPr>
            <w:r w:rsidRPr="00AD3A74">
              <w:rPr>
                <w:color w:val="000000"/>
                <w:sz w:val="22"/>
                <w:szCs w:val="22"/>
              </w:rPr>
              <w:t>0,33</w:t>
            </w:r>
          </w:p>
        </w:tc>
        <w:tc>
          <w:tcPr>
            <w:tcW w:w="1339" w:type="dxa"/>
            <w:tcBorders>
              <w:top w:val="nil"/>
              <w:left w:val="nil"/>
              <w:bottom w:val="single" w:sz="4" w:space="0" w:color="000000"/>
              <w:right w:val="single" w:sz="4" w:space="0" w:color="000000"/>
            </w:tcBorders>
            <w:shd w:val="clear" w:color="auto" w:fill="E7E6E6"/>
            <w:vAlign w:val="bottom"/>
          </w:tcPr>
          <w:p w14:paraId="7015D6A9" w14:textId="77777777" w:rsidR="00AD3A74" w:rsidRPr="00AD3A74" w:rsidRDefault="00AD3A74" w:rsidP="00671F58">
            <w:pPr>
              <w:jc w:val="right"/>
              <w:rPr>
                <w:color w:val="000000"/>
                <w:sz w:val="22"/>
                <w:szCs w:val="22"/>
              </w:rPr>
            </w:pPr>
            <w:r w:rsidRPr="00AD3A74">
              <w:rPr>
                <w:color w:val="000000"/>
                <w:sz w:val="22"/>
                <w:szCs w:val="22"/>
              </w:rPr>
              <w:t>0,36</w:t>
            </w:r>
          </w:p>
        </w:tc>
        <w:tc>
          <w:tcPr>
            <w:tcW w:w="1276" w:type="dxa"/>
            <w:tcBorders>
              <w:top w:val="nil"/>
              <w:left w:val="nil"/>
              <w:bottom w:val="single" w:sz="4" w:space="0" w:color="000000"/>
              <w:right w:val="nil"/>
            </w:tcBorders>
            <w:shd w:val="clear" w:color="auto" w:fill="E7E6E6"/>
            <w:vAlign w:val="bottom"/>
          </w:tcPr>
          <w:p w14:paraId="10D913B3" w14:textId="77777777" w:rsidR="00AD3A74" w:rsidRPr="00AD3A74" w:rsidRDefault="00AD3A74" w:rsidP="00671F58">
            <w:pPr>
              <w:jc w:val="right"/>
              <w:rPr>
                <w:color w:val="000000"/>
                <w:sz w:val="22"/>
                <w:szCs w:val="22"/>
              </w:rPr>
            </w:pPr>
            <w:r w:rsidRPr="00AD3A74">
              <w:rPr>
                <w:color w:val="000000"/>
                <w:sz w:val="22"/>
                <w:szCs w:val="22"/>
              </w:rPr>
              <w:t>0,917</w:t>
            </w:r>
          </w:p>
        </w:tc>
      </w:tr>
      <w:tr w:rsidR="00AD3A74" w:rsidRPr="00AD3A74" w14:paraId="73888DDC" w14:textId="77777777" w:rsidTr="00226FE5">
        <w:trPr>
          <w:trHeight w:val="300"/>
        </w:trPr>
        <w:tc>
          <w:tcPr>
            <w:tcW w:w="960" w:type="dxa"/>
            <w:tcBorders>
              <w:top w:val="nil"/>
              <w:left w:val="nil"/>
              <w:bottom w:val="single" w:sz="4" w:space="0" w:color="000000"/>
              <w:right w:val="single" w:sz="4" w:space="0" w:color="000000"/>
            </w:tcBorders>
            <w:shd w:val="clear" w:color="auto" w:fill="E7E6E6"/>
            <w:vAlign w:val="bottom"/>
          </w:tcPr>
          <w:p w14:paraId="001EC7D1" w14:textId="77777777" w:rsidR="00AD3A74" w:rsidRPr="00AD3A74" w:rsidRDefault="00AD3A74" w:rsidP="00671F58">
            <w:pPr>
              <w:jc w:val="right"/>
              <w:rPr>
                <w:color w:val="000000"/>
                <w:sz w:val="22"/>
                <w:szCs w:val="22"/>
              </w:rPr>
            </w:pPr>
            <w:r w:rsidRPr="00AD3A74">
              <w:rPr>
                <w:color w:val="000000"/>
                <w:sz w:val="22"/>
                <w:szCs w:val="22"/>
              </w:rPr>
              <w:t>2024</w:t>
            </w:r>
          </w:p>
        </w:tc>
        <w:tc>
          <w:tcPr>
            <w:tcW w:w="1308" w:type="dxa"/>
            <w:tcBorders>
              <w:top w:val="nil"/>
              <w:left w:val="nil"/>
              <w:bottom w:val="single" w:sz="4" w:space="0" w:color="000000"/>
              <w:right w:val="single" w:sz="4" w:space="0" w:color="000000"/>
            </w:tcBorders>
            <w:shd w:val="clear" w:color="auto" w:fill="E7E6E6"/>
            <w:vAlign w:val="bottom"/>
          </w:tcPr>
          <w:p w14:paraId="37E44B4F" w14:textId="77777777" w:rsidR="00AD3A74" w:rsidRPr="00AD3A74" w:rsidRDefault="00AD3A74" w:rsidP="00671F58">
            <w:pPr>
              <w:jc w:val="right"/>
              <w:rPr>
                <w:color w:val="000000"/>
                <w:sz w:val="22"/>
                <w:szCs w:val="22"/>
              </w:rPr>
            </w:pPr>
            <w:r w:rsidRPr="00AD3A74">
              <w:rPr>
                <w:color w:val="000000"/>
                <w:sz w:val="22"/>
                <w:szCs w:val="22"/>
              </w:rPr>
              <w:t> 387524</w:t>
            </w:r>
          </w:p>
        </w:tc>
        <w:tc>
          <w:tcPr>
            <w:tcW w:w="1181" w:type="dxa"/>
            <w:tcBorders>
              <w:top w:val="nil"/>
              <w:left w:val="nil"/>
              <w:bottom w:val="single" w:sz="4" w:space="0" w:color="000000"/>
              <w:right w:val="single" w:sz="4" w:space="0" w:color="000000"/>
            </w:tcBorders>
            <w:shd w:val="clear" w:color="auto" w:fill="E7E6E6"/>
            <w:vAlign w:val="bottom"/>
          </w:tcPr>
          <w:p w14:paraId="4C29D9E3" w14:textId="77777777" w:rsidR="00AD3A74" w:rsidRPr="00AD3A74" w:rsidRDefault="00AD3A74" w:rsidP="00671F58">
            <w:pPr>
              <w:jc w:val="right"/>
              <w:rPr>
                <w:color w:val="000000"/>
                <w:sz w:val="22"/>
                <w:szCs w:val="22"/>
              </w:rPr>
            </w:pPr>
            <w:r w:rsidRPr="00AD3A74">
              <w:rPr>
                <w:color w:val="000000"/>
                <w:sz w:val="22"/>
                <w:szCs w:val="22"/>
              </w:rPr>
              <w:t>146,72 </w:t>
            </w:r>
          </w:p>
        </w:tc>
        <w:tc>
          <w:tcPr>
            <w:tcW w:w="1134" w:type="dxa"/>
            <w:tcBorders>
              <w:top w:val="nil"/>
              <w:left w:val="nil"/>
              <w:bottom w:val="single" w:sz="4" w:space="0" w:color="000000"/>
              <w:right w:val="single" w:sz="4" w:space="0" w:color="000000"/>
            </w:tcBorders>
            <w:shd w:val="clear" w:color="auto" w:fill="E7E6E6"/>
            <w:vAlign w:val="bottom"/>
          </w:tcPr>
          <w:p w14:paraId="7C98A690" w14:textId="77777777" w:rsidR="00AD3A74" w:rsidRPr="00AD3A74" w:rsidRDefault="00AD3A74" w:rsidP="00671F58">
            <w:pPr>
              <w:jc w:val="right"/>
              <w:rPr>
                <w:color w:val="000000"/>
                <w:sz w:val="22"/>
                <w:szCs w:val="22"/>
              </w:rPr>
            </w:pPr>
            <w:r w:rsidRPr="00AD3A74">
              <w:rPr>
                <w:color w:val="000000"/>
                <w:sz w:val="22"/>
                <w:szCs w:val="22"/>
              </w:rPr>
              <w:t> 516,11</w:t>
            </w:r>
          </w:p>
        </w:tc>
        <w:tc>
          <w:tcPr>
            <w:tcW w:w="1087" w:type="dxa"/>
            <w:tcBorders>
              <w:top w:val="nil"/>
              <w:left w:val="nil"/>
              <w:bottom w:val="single" w:sz="4" w:space="0" w:color="000000"/>
              <w:right w:val="single" w:sz="4" w:space="0" w:color="000000"/>
            </w:tcBorders>
            <w:shd w:val="clear" w:color="auto" w:fill="E7E6E6"/>
            <w:vAlign w:val="bottom"/>
          </w:tcPr>
          <w:p w14:paraId="073ADEFF" w14:textId="77777777" w:rsidR="00AD3A74" w:rsidRPr="00AD3A74" w:rsidRDefault="00AD3A74" w:rsidP="00671F58">
            <w:pPr>
              <w:jc w:val="right"/>
              <w:rPr>
                <w:color w:val="000000"/>
                <w:sz w:val="22"/>
                <w:szCs w:val="22"/>
              </w:rPr>
            </w:pPr>
            <w:r w:rsidRPr="00AD3A74">
              <w:rPr>
                <w:color w:val="000000"/>
                <w:sz w:val="22"/>
                <w:szCs w:val="22"/>
              </w:rPr>
              <w:t> 509,91</w:t>
            </w:r>
          </w:p>
        </w:tc>
        <w:tc>
          <w:tcPr>
            <w:tcW w:w="1132" w:type="dxa"/>
            <w:tcBorders>
              <w:top w:val="nil"/>
              <w:left w:val="nil"/>
              <w:bottom w:val="single" w:sz="4" w:space="0" w:color="000000"/>
              <w:right w:val="single" w:sz="4" w:space="0" w:color="000000"/>
            </w:tcBorders>
            <w:shd w:val="clear" w:color="auto" w:fill="E7E6E6"/>
            <w:vAlign w:val="bottom"/>
          </w:tcPr>
          <w:p w14:paraId="788999B3" w14:textId="77777777" w:rsidR="00AD3A74" w:rsidRPr="00AD3A74" w:rsidRDefault="00AD3A74" w:rsidP="00671F58">
            <w:pPr>
              <w:jc w:val="right"/>
              <w:rPr>
                <w:color w:val="000000"/>
                <w:sz w:val="22"/>
                <w:szCs w:val="22"/>
              </w:rPr>
            </w:pPr>
            <w:r w:rsidRPr="00AD3A74">
              <w:rPr>
                <w:color w:val="000000"/>
                <w:sz w:val="22"/>
                <w:szCs w:val="22"/>
              </w:rPr>
              <w:t>0,28</w:t>
            </w:r>
          </w:p>
        </w:tc>
        <w:tc>
          <w:tcPr>
            <w:tcW w:w="1339" w:type="dxa"/>
            <w:tcBorders>
              <w:top w:val="nil"/>
              <w:left w:val="nil"/>
              <w:bottom w:val="single" w:sz="4" w:space="0" w:color="000000"/>
              <w:right w:val="single" w:sz="4" w:space="0" w:color="000000"/>
            </w:tcBorders>
            <w:shd w:val="clear" w:color="auto" w:fill="E7E6E6"/>
            <w:vAlign w:val="bottom"/>
          </w:tcPr>
          <w:p w14:paraId="51DA69A7" w14:textId="77777777" w:rsidR="00AD3A74" w:rsidRPr="00AD3A74" w:rsidRDefault="00AD3A74" w:rsidP="00671F58">
            <w:pPr>
              <w:jc w:val="right"/>
              <w:rPr>
                <w:color w:val="000000"/>
                <w:sz w:val="22"/>
                <w:szCs w:val="22"/>
              </w:rPr>
            </w:pPr>
            <w:r w:rsidRPr="00AD3A74">
              <w:rPr>
                <w:color w:val="000000"/>
                <w:sz w:val="22"/>
                <w:szCs w:val="22"/>
              </w:rPr>
              <w:t>0,29</w:t>
            </w:r>
          </w:p>
        </w:tc>
        <w:tc>
          <w:tcPr>
            <w:tcW w:w="1276" w:type="dxa"/>
            <w:tcBorders>
              <w:top w:val="nil"/>
              <w:left w:val="nil"/>
              <w:bottom w:val="single" w:sz="4" w:space="0" w:color="000000"/>
              <w:right w:val="nil"/>
            </w:tcBorders>
            <w:shd w:val="clear" w:color="auto" w:fill="E7E6E6"/>
            <w:vAlign w:val="bottom"/>
          </w:tcPr>
          <w:p w14:paraId="43140ECC" w14:textId="77777777" w:rsidR="00AD3A74" w:rsidRPr="00AD3A74" w:rsidRDefault="00AD3A74" w:rsidP="00671F58">
            <w:pPr>
              <w:jc w:val="right"/>
              <w:rPr>
                <w:color w:val="000000"/>
                <w:sz w:val="22"/>
                <w:szCs w:val="22"/>
              </w:rPr>
            </w:pPr>
            <w:r w:rsidRPr="00AD3A74">
              <w:rPr>
                <w:color w:val="000000"/>
                <w:sz w:val="22"/>
                <w:szCs w:val="22"/>
              </w:rPr>
              <w:t> 0,988</w:t>
            </w:r>
          </w:p>
        </w:tc>
      </w:tr>
    </w:tbl>
    <w:p w14:paraId="58B72463" w14:textId="77777777" w:rsidR="00AD3A74" w:rsidRPr="00AD3A74" w:rsidRDefault="00AD3A74" w:rsidP="00AD3A74">
      <w:pPr>
        <w:spacing w:line="240" w:lineRule="auto"/>
        <w:jc w:val="both"/>
        <w:rPr>
          <w:rFonts w:ascii="Garamond" w:eastAsia="Garamond" w:hAnsi="Garamond" w:cs="Garamond"/>
          <w:sz w:val="20"/>
          <w:szCs w:val="20"/>
        </w:rPr>
      </w:pPr>
      <w:r w:rsidRPr="00AD3A74">
        <w:rPr>
          <w:rFonts w:ascii="Garamond" w:eastAsia="Garamond" w:hAnsi="Garamond" w:cs="Garamond"/>
          <w:sz w:val="20"/>
          <w:szCs w:val="20"/>
        </w:rPr>
        <w:t xml:space="preserve">Fonte: Elaboração própria, com base nos dados do </w:t>
      </w:r>
      <w:proofErr w:type="spellStart"/>
      <w:r w:rsidRPr="00AD3A74">
        <w:rPr>
          <w:rFonts w:ascii="Garamond" w:eastAsia="Garamond" w:hAnsi="Garamond" w:cs="Garamond"/>
          <w:sz w:val="20"/>
          <w:szCs w:val="20"/>
        </w:rPr>
        <w:t>Finbra</w:t>
      </w:r>
      <w:proofErr w:type="spellEnd"/>
      <w:r w:rsidRPr="00AD3A74">
        <w:rPr>
          <w:rFonts w:ascii="Garamond" w:eastAsia="Garamond" w:hAnsi="Garamond" w:cs="Garamond"/>
          <w:sz w:val="20"/>
          <w:szCs w:val="20"/>
        </w:rPr>
        <w:t>/</w:t>
      </w:r>
      <w:proofErr w:type="spellStart"/>
      <w:r w:rsidRPr="00AD3A74">
        <w:rPr>
          <w:rFonts w:ascii="Garamond" w:eastAsia="Garamond" w:hAnsi="Garamond" w:cs="Garamond"/>
          <w:sz w:val="20"/>
          <w:szCs w:val="20"/>
        </w:rPr>
        <w:t>Siconfi</w:t>
      </w:r>
      <w:proofErr w:type="spellEnd"/>
      <w:r w:rsidRPr="00AD3A74">
        <w:rPr>
          <w:rFonts w:ascii="Garamond" w:eastAsia="Garamond" w:hAnsi="Garamond" w:cs="Garamond"/>
          <w:sz w:val="20"/>
          <w:szCs w:val="20"/>
        </w:rPr>
        <w:t>/STN (2013-2024)</w:t>
      </w:r>
    </w:p>
    <w:p w14:paraId="04FBC05C" w14:textId="77777777" w:rsidR="00AD3A74" w:rsidRPr="00AD3A74" w:rsidRDefault="00AD3A74" w:rsidP="00AD3A74">
      <w:pPr>
        <w:spacing w:line="360" w:lineRule="auto"/>
        <w:jc w:val="both"/>
        <w:rPr>
          <w:rFonts w:ascii="Times New Roman" w:eastAsia="Times New Roman" w:hAnsi="Times New Roman" w:cs="Times New Roman"/>
        </w:rPr>
      </w:pPr>
    </w:p>
    <w:p w14:paraId="490F4D75" w14:textId="77777777" w:rsidR="00AD3A74" w:rsidRPr="00AD3A74" w:rsidRDefault="00AD3A74" w:rsidP="00AD3A74">
      <w:pPr>
        <w:spacing w:line="360" w:lineRule="auto"/>
        <w:jc w:val="both"/>
        <w:rPr>
          <w:rFonts w:ascii="Times New Roman" w:eastAsia="Times New Roman" w:hAnsi="Times New Roman" w:cs="Times New Roman"/>
        </w:rPr>
      </w:pPr>
      <w:r w:rsidRPr="00AD3A74">
        <w:rPr>
          <w:rFonts w:ascii="Times New Roman" w:eastAsia="Times New Roman" w:hAnsi="Times New Roman" w:cs="Times New Roman"/>
        </w:rPr>
        <w:tab/>
        <w:t xml:space="preserve">As estatísticas geradas na tabela acima mostram que o IPTU cresce pouco no (segundo) mandato de Guilherme Menezes – PT (2013-2016), apresenta um crescimento considerável, superior a 50%, no mandato de </w:t>
      </w:r>
      <w:proofErr w:type="spellStart"/>
      <w:r w:rsidRPr="00AD3A74">
        <w:rPr>
          <w:rFonts w:ascii="Times New Roman" w:eastAsia="Times New Roman" w:hAnsi="Times New Roman" w:cs="Times New Roman"/>
        </w:rPr>
        <w:t>Herzem</w:t>
      </w:r>
      <w:proofErr w:type="spellEnd"/>
      <w:r w:rsidRPr="00AD3A74">
        <w:rPr>
          <w:rFonts w:ascii="Times New Roman" w:eastAsia="Times New Roman" w:hAnsi="Times New Roman" w:cs="Times New Roman"/>
        </w:rPr>
        <w:t xml:space="preserve"> Gusmão (PMDB) e continua crescendo no mandato de Sheila Lemos (União Brasil). </w:t>
      </w:r>
    </w:p>
    <w:p w14:paraId="6B1B58A5" w14:textId="77777777" w:rsidR="00AD3A74" w:rsidRPr="00AD3A74" w:rsidRDefault="00AD3A74" w:rsidP="00AD3A74">
      <w:pPr>
        <w:spacing w:line="360" w:lineRule="auto"/>
        <w:jc w:val="both"/>
        <w:rPr>
          <w:rFonts w:ascii="Times New Roman" w:eastAsia="Times New Roman" w:hAnsi="Times New Roman" w:cs="Times New Roman"/>
        </w:rPr>
      </w:pPr>
    </w:p>
    <w:p w14:paraId="1324954D" w14:textId="72F3E6DC" w:rsidR="00AD3A74" w:rsidRPr="00226FE5" w:rsidRDefault="00AD3A74" w:rsidP="00AD3A74">
      <w:pPr>
        <w:spacing w:line="360" w:lineRule="auto"/>
        <w:jc w:val="both"/>
        <w:rPr>
          <w:rFonts w:ascii="Times New Roman" w:eastAsia="Times New Roman" w:hAnsi="Times New Roman" w:cs="Times New Roman"/>
          <w:b/>
          <w:bCs/>
        </w:rPr>
      </w:pPr>
      <w:r w:rsidRPr="00226FE5">
        <w:rPr>
          <w:rFonts w:ascii="Times New Roman" w:eastAsia="Times New Roman" w:hAnsi="Times New Roman" w:cs="Times New Roman"/>
          <w:b/>
          <w:bCs/>
        </w:rPr>
        <w:t>T</w:t>
      </w:r>
      <w:r w:rsidR="00226FE5" w:rsidRPr="00226FE5">
        <w:rPr>
          <w:rFonts w:ascii="Times New Roman" w:eastAsia="Times New Roman" w:hAnsi="Times New Roman" w:cs="Times New Roman"/>
          <w:b/>
          <w:bCs/>
        </w:rPr>
        <w:t>abela</w:t>
      </w:r>
      <w:r w:rsidRPr="00226FE5">
        <w:rPr>
          <w:rFonts w:ascii="Times New Roman" w:eastAsia="Times New Roman" w:hAnsi="Times New Roman" w:cs="Times New Roman"/>
          <w:b/>
          <w:bCs/>
        </w:rPr>
        <w:t xml:space="preserve"> 2 – Arrecadação (R$) per capita do IPTU, variações (nominal e real) e acumulados – 2013 a 2024.</w:t>
      </w:r>
    </w:p>
    <w:tbl>
      <w:tblPr>
        <w:tblW w:w="9464" w:type="dxa"/>
        <w:tblCellMar>
          <w:left w:w="70" w:type="dxa"/>
          <w:right w:w="70" w:type="dxa"/>
        </w:tblCellMar>
        <w:tblLook w:val="04A0" w:firstRow="1" w:lastRow="0" w:firstColumn="1" w:lastColumn="0" w:noHBand="0" w:noVBand="1"/>
      </w:tblPr>
      <w:tblGrid>
        <w:gridCol w:w="993"/>
        <w:gridCol w:w="1418"/>
        <w:gridCol w:w="1985"/>
        <w:gridCol w:w="1180"/>
        <w:gridCol w:w="1360"/>
        <w:gridCol w:w="1287"/>
        <w:gridCol w:w="1241"/>
      </w:tblGrid>
      <w:tr w:rsidR="00AD3A74" w:rsidRPr="00AD3A74" w14:paraId="5B814D30" w14:textId="77777777" w:rsidTr="00226FE5">
        <w:trPr>
          <w:trHeight w:val="300"/>
        </w:trPr>
        <w:tc>
          <w:tcPr>
            <w:tcW w:w="993" w:type="dxa"/>
            <w:vMerge w:val="restart"/>
            <w:tcBorders>
              <w:top w:val="single" w:sz="4" w:space="0" w:color="auto"/>
              <w:left w:val="nil"/>
              <w:bottom w:val="single" w:sz="4" w:space="0" w:color="auto"/>
              <w:right w:val="single" w:sz="4" w:space="0" w:color="auto"/>
            </w:tcBorders>
            <w:shd w:val="clear" w:color="000000" w:fill="FFF2CC"/>
            <w:noWrap/>
            <w:vAlign w:val="bottom"/>
          </w:tcPr>
          <w:p w14:paraId="7D80590D" w14:textId="77777777" w:rsidR="00AD3A74" w:rsidRPr="00AD3A74" w:rsidRDefault="00AD3A74" w:rsidP="00671F58">
            <w:pPr>
              <w:spacing w:line="240" w:lineRule="auto"/>
              <w:jc w:val="center"/>
              <w:rPr>
                <w:rFonts w:eastAsia="Times New Roman"/>
                <w:color w:val="000000"/>
              </w:rPr>
            </w:pPr>
            <w:r w:rsidRPr="00AD3A74">
              <w:rPr>
                <w:rFonts w:eastAsia="Times New Roman"/>
                <w:color w:val="000000"/>
              </w:rPr>
              <w:t>ANO</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2CC"/>
            <w:noWrap/>
            <w:vAlign w:val="bottom"/>
          </w:tcPr>
          <w:p w14:paraId="3FE53CC3" w14:textId="1AD0FAA1" w:rsidR="00AD3A74" w:rsidRPr="00AD3A74" w:rsidRDefault="00AD3A74" w:rsidP="00671F58">
            <w:pPr>
              <w:spacing w:line="240" w:lineRule="auto"/>
              <w:jc w:val="center"/>
              <w:rPr>
                <w:rFonts w:eastAsia="Times New Roman"/>
                <w:color w:val="000000"/>
              </w:rPr>
            </w:pPr>
            <w:r w:rsidRPr="00AD3A74">
              <w:rPr>
                <w:rFonts w:eastAsia="Times New Roman"/>
                <w:color w:val="000000"/>
              </w:rPr>
              <w:t>P</w:t>
            </w:r>
            <w:r w:rsidR="00226FE5">
              <w:rPr>
                <w:rFonts w:eastAsia="Times New Roman"/>
                <w:color w:val="000000"/>
              </w:rPr>
              <w:t>opulação</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FF2CC"/>
            <w:noWrap/>
            <w:vAlign w:val="bottom"/>
          </w:tcPr>
          <w:p w14:paraId="5858D430" w14:textId="77777777" w:rsidR="00AD3A74" w:rsidRPr="00AD3A74" w:rsidRDefault="00AD3A74" w:rsidP="00671F58">
            <w:pPr>
              <w:spacing w:line="240" w:lineRule="auto"/>
              <w:jc w:val="center"/>
              <w:rPr>
                <w:rFonts w:eastAsia="Times New Roman"/>
                <w:color w:val="000000"/>
              </w:rPr>
            </w:pPr>
            <w:r w:rsidRPr="00AD3A74">
              <w:rPr>
                <w:rFonts w:eastAsia="Times New Roman"/>
                <w:color w:val="000000"/>
              </w:rPr>
              <w:t>IPTU per capita</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2CC"/>
            <w:noWrap/>
            <w:vAlign w:val="bottom"/>
          </w:tcPr>
          <w:p w14:paraId="62D11CFD" w14:textId="77777777" w:rsidR="00AD3A74" w:rsidRPr="00AD3A74" w:rsidRDefault="00AD3A74" w:rsidP="00671F58">
            <w:pPr>
              <w:spacing w:line="240" w:lineRule="auto"/>
              <w:jc w:val="center"/>
              <w:rPr>
                <w:rFonts w:eastAsia="Times New Roman"/>
                <w:color w:val="000000"/>
              </w:rPr>
            </w:pPr>
            <w:r w:rsidRPr="00AD3A74">
              <w:rPr>
                <w:rFonts w:eastAsia="Times New Roman"/>
                <w:color w:val="000000"/>
              </w:rPr>
              <w:t>VAR %</w:t>
            </w:r>
          </w:p>
        </w:tc>
        <w:tc>
          <w:tcPr>
            <w:tcW w:w="1360" w:type="dxa"/>
            <w:tcBorders>
              <w:top w:val="single" w:sz="4" w:space="0" w:color="auto"/>
              <w:left w:val="nil"/>
              <w:bottom w:val="single" w:sz="4" w:space="0" w:color="auto"/>
              <w:right w:val="single" w:sz="4" w:space="0" w:color="auto"/>
            </w:tcBorders>
            <w:shd w:val="clear" w:color="000000" w:fill="FFF2CC"/>
            <w:noWrap/>
            <w:vAlign w:val="bottom"/>
          </w:tcPr>
          <w:p w14:paraId="0B51F0CD" w14:textId="77777777" w:rsidR="00AD3A74" w:rsidRPr="00AD3A74" w:rsidRDefault="00AD3A74" w:rsidP="00671F58">
            <w:pPr>
              <w:spacing w:line="240" w:lineRule="auto"/>
              <w:jc w:val="center"/>
              <w:rPr>
                <w:rFonts w:eastAsia="Times New Roman"/>
                <w:color w:val="000000"/>
              </w:rPr>
            </w:pPr>
            <w:r w:rsidRPr="00AD3A74">
              <w:rPr>
                <w:rFonts w:eastAsia="Times New Roman"/>
                <w:color w:val="000000"/>
              </w:rPr>
              <w:t xml:space="preserve">IPCA </w:t>
            </w:r>
          </w:p>
        </w:tc>
        <w:tc>
          <w:tcPr>
            <w:tcW w:w="1287" w:type="dxa"/>
            <w:tcBorders>
              <w:top w:val="single" w:sz="4" w:space="0" w:color="auto"/>
              <w:left w:val="nil"/>
              <w:bottom w:val="single" w:sz="4" w:space="0" w:color="auto"/>
              <w:right w:val="single" w:sz="4" w:space="0" w:color="auto"/>
            </w:tcBorders>
            <w:shd w:val="clear" w:color="000000" w:fill="FFF2CC"/>
            <w:noWrap/>
            <w:vAlign w:val="bottom"/>
          </w:tcPr>
          <w:p w14:paraId="618FA89C" w14:textId="77777777" w:rsidR="00AD3A74" w:rsidRPr="00AD3A74" w:rsidRDefault="00AD3A74" w:rsidP="00671F58">
            <w:pPr>
              <w:spacing w:line="240" w:lineRule="auto"/>
              <w:jc w:val="center"/>
              <w:rPr>
                <w:rFonts w:eastAsia="Times New Roman"/>
                <w:color w:val="000000"/>
              </w:rPr>
            </w:pPr>
            <w:r w:rsidRPr="00AD3A74">
              <w:rPr>
                <w:rFonts w:eastAsia="Times New Roman"/>
                <w:color w:val="000000"/>
              </w:rPr>
              <w:t>Variação</w:t>
            </w:r>
          </w:p>
        </w:tc>
        <w:tc>
          <w:tcPr>
            <w:tcW w:w="1241" w:type="dxa"/>
            <w:tcBorders>
              <w:top w:val="single" w:sz="4" w:space="0" w:color="auto"/>
              <w:left w:val="nil"/>
              <w:bottom w:val="single" w:sz="4" w:space="0" w:color="auto"/>
              <w:right w:val="nil"/>
            </w:tcBorders>
            <w:shd w:val="clear" w:color="000000" w:fill="FFF2CC"/>
            <w:noWrap/>
            <w:vAlign w:val="bottom"/>
          </w:tcPr>
          <w:p w14:paraId="5F445517" w14:textId="77777777" w:rsidR="00AD3A74" w:rsidRPr="00AD3A74" w:rsidRDefault="00AD3A74" w:rsidP="00671F58">
            <w:pPr>
              <w:spacing w:line="240" w:lineRule="auto"/>
              <w:rPr>
                <w:rFonts w:eastAsia="Times New Roman"/>
                <w:color w:val="000000"/>
              </w:rPr>
            </w:pPr>
            <w:r w:rsidRPr="00AD3A74">
              <w:rPr>
                <w:rFonts w:eastAsia="Times New Roman"/>
                <w:color w:val="000000"/>
              </w:rPr>
              <w:t>Acumulado</w:t>
            </w:r>
          </w:p>
        </w:tc>
      </w:tr>
      <w:tr w:rsidR="00AD3A74" w:rsidRPr="00AD3A74" w14:paraId="5FBFAC8A" w14:textId="77777777" w:rsidTr="00226FE5">
        <w:trPr>
          <w:trHeight w:val="300"/>
        </w:trPr>
        <w:tc>
          <w:tcPr>
            <w:tcW w:w="993" w:type="dxa"/>
            <w:vMerge/>
            <w:tcBorders>
              <w:top w:val="single" w:sz="4" w:space="0" w:color="auto"/>
              <w:left w:val="nil"/>
              <w:bottom w:val="single" w:sz="4" w:space="0" w:color="auto"/>
              <w:right w:val="single" w:sz="4" w:space="0" w:color="auto"/>
            </w:tcBorders>
            <w:vAlign w:val="center"/>
          </w:tcPr>
          <w:p w14:paraId="0A7B119E" w14:textId="77777777" w:rsidR="00AD3A74" w:rsidRPr="00AD3A74" w:rsidRDefault="00AD3A74" w:rsidP="00671F58">
            <w:pPr>
              <w:spacing w:line="240" w:lineRule="auto"/>
              <w:rPr>
                <w:rFonts w:eastAsia="Times New Roman"/>
                <w:color w:val="00000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2E5F9272" w14:textId="77777777" w:rsidR="00AD3A74" w:rsidRPr="00AD3A74" w:rsidRDefault="00AD3A74" w:rsidP="00671F58">
            <w:pPr>
              <w:spacing w:line="240" w:lineRule="auto"/>
              <w:rPr>
                <w:rFonts w:eastAsia="Times New Roman"/>
                <w:color w:val="000000"/>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2381F429" w14:textId="77777777" w:rsidR="00AD3A74" w:rsidRPr="00AD3A74" w:rsidRDefault="00AD3A74" w:rsidP="00671F58">
            <w:pPr>
              <w:spacing w:line="240" w:lineRule="auto"/>
              <w:rPr>
                <w:rFonts w:eastAsia="Times New Roman"/>
                <w:color w:val="000000"/>
              </w:rPr>
            </w:pPr>
          </w:p>
        </w:tc>
        <w:tc>
          <w:tcPr>
            <w:tcW w:w="1180" w:type="dxa"/>
            <w:vMerge/>
            <w:tcBorders>
              <w:top w:val="single" w:sz="4" w:space="0" w:color="auto"/>
              <w:left w:val="single" w:sz="4" w:space="0" w:color="auto"/>
              <w:bottom w:val="single" w:sz="4" w:space="0" w:color="auto"/>
              <w:right w:val="single" w:sz="4" w:space="0" w:color="auto"/>
            </w:tcBorders>
            <w:vAlign w:val="center"/>
          </w:tcPr>
          <w:p w14:paraId="4B808D14" w14:textId="77777777" w:rsidR="00AD3A74" w:rsidRPr="00AD3A74" w:rsidRDefault="00AD3A74" w:rsidP="00671F58">
            <w:pPr>
              <w:spacing w:line="240" w:lineRule="auto"/>
              <w:rPr>
                <w:rFonts w:eastAsia="Times New Roman"/>
                <w:color w:val="000000"/>
              </w:rPr>
            </w:pPr>
          </w:p>
        </w:tc>
        <w:tc>
          <w:tcPr>
            <w:tcW w:w="1360" w:type="dxa"/>
            <w:tcBorders>
              <w:top w:val="nil"/>
              <w:left w:val="nil"/>
              <w:bottom w:val="single" w:sz="4" w:space="0" w:color="auto"/>
              <w:right w:val="single" w:sz="4" w:space="0" w:color="auto"/>
            </w:tcBorders>
            <w:shd w:val="clear" w:color="000000" w:fill="FFF2CC"/>
            <w:noWrap/>
            <w:vAlign w:val="bottom"/>
          </w:tcPr>
          <w:p w14:paraId="1DB11D59" w14:textId="77777777" w:rsidR="00AD3A74" w:rsidRPr="00AD3A74" w:rsidRDefault="00AD3A74" w:rsidP="00671F58">
            <w:pPr>
              <w:spacing w:line="240" w:lineRule="auto"/>
              <w:rPr>
                <w:rFonts w:eastAsia="Times New Roman"/>
                <w:color w:val="000000"/>
              </w:rPr>
            </w:pPr>
            <w:r w:rsidRPr="00AD3A74">
              <w:rPr>
                <w:rFonts w:eastAsia="Times New Roman"/>
                <w:color w:val="000000"/>
              </w:rPr>
              <w:t>ano anterior</w:t>
            </w:r>
          </w:p>
        </w:tc>
        <w:tc>
          <w:tcPr>
            <w:tcW w:w="1287" w:type="dxa"/>
            <w:tcBorders>
              <w:top w:val="nil"/>
              <w:left w:val="nil"/>
              <w:bottom w:val="single" w:sz="4" w:space="0" w:color="auto"/>
              <w:right w:val="single" w:sz="4" w:space="0" w:color="auto"/>
            </w:tcBorders>
            <w:shd w:val="clear" w:color="000000" w:fill="FFF2CC"/>
            <w:noWrap/>
            <w:vAlign w:val="bottom"/>
          </w:tcPr>
          <w:p w14:paraId="2EBF9415" w14:textId="77777777" w:rsidR="00AD3A74" w:rsidRPr="00AD3A74" w:rsidRDefault="00AD3A74" w:rsidP="00671F58">
            <w:pPr>
              <w:spacing w:line="240" w:lineRule="auto"/>
              <w:jc w:val="center"/>
              <w:rPr>
                <w:rFonts w:eastAsia="Times New Roman"/>
                <w:color w:val="000000"/>
              </w:rPr>
            </w:pPr>
            <w:r w:rsidRPr="00AD3A74">
              <w:rPr>
                <w:rFonts w:eastAsia="Times New Roman"/>
                <w:color w:val="000000"/>
              </w:rPr>
              <w:t>Real</w:t>
            </w:r>
          </w:p>
        </w:tc>
        <w:tc>
          <w:tcPr>
            <w:tcW w:w="1241" w:type="dxa"/>
            <w:tcBorders>
              <w:top w:val="nil"/>
              <w:left w:val="nil"/>
              <w:bottom w:val="single" w:sz="4" w:space="0" w:color="auto"/>
              <w:right w:val="nil"/>
            </w:tcBorders>
            <w:shd w:val="clear" w:color="000000" w:fill="FFF2CC"/>
            <w:noWrap/>
            <w:vAlign w:val="bottom"/>
          </w:tcPr>
          <w:p w14:paraId="06A0BEAD" w14:textId="77777777" w:rsidR="00AD3A74" w:rsidRPr="00AD3A74" w:rsidRDefault="00AD3A74" w:rsidP="00671F58">
            <w:pPr>
              <w:spacing w:line="240" w:lineRule="auto"/>
              <w:jc w:val="center"/>
              <w:rPr>
                <w:rFonts w:eastAsia="Times New Roman"/>
                <w:color w:val="000000"/>
              </w:rPr>
            </w:pPr>
            <w:r w:rsidRPr="00AD3A74">
              <w:rPr>
                <w:rFonts w:eastAsia="Times New Roman"/>
                <w:color w:val="000000"/>
              </w:rPr>
              <w:t>Mandato</w:t>
            </w:r>
          </w:p>
        </w:tc>
      </w:tr>
      <w:tr w:rsidR="00AD3A74" w:rsidRPr="00AD3A74" w14:paraId="29CF0F6B" w14:textId="77777777" w:rsidTr="00226FE5">
        <w:trPr>
          <w:trHeight w:val="300"/>
        </w:trPr>
        <w:tc>
          <w:tcPr>
            <w:tcW w:w="993" w:type="dxa"/>
            <w:tcBorders>
              <w:top w:val="nil"/>
              <w:left w:val="nil"/>
              <w:bottom w:val="single" w:sz="4" w:space="0" w:color="auto"/>
              <w:right w:val="single" w:sz="4" w:space="0" w:color="auto"/>
            </w:tcBorders>
            <w:shd w:val="clear" w:color="000000" w:fill="F4B084"/>
            <w:noWrap/>
            <w:vAlign w:val="bottom"/>
          </w:tcPr>
          <w:p w14:paraId="574B2517"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2013</w:t>
            </w:r>
          </w:p>
        </w:tc>
        <w:tc>
          <w:tcPr>
            <w:tcW w:w="1418" w:type="dxa"/>
            <w:tcBorders>
              <w:top w:val="nil"/>
              <w:left w:val="nil"/>
              <w:bottom w:val="single" w:sz="4" w:space="0" w:color="auto"/>
              <w:right w:val="single" w:sz="4" w:space="0" w:color="auto"/>
            </w:tcBorders>
            <w:shd w:val="clear" w:color="000000" w:fill="F4B084"/>
            <w:noWrap/>
            <w:vAlign w:val="bottom"/>
          </w:tcPr>
          <w:p w14:paraId="78DABFF7"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336.987</w:t>
            </w:r>
          </w:p>
        </w:tc>
        <w:tc>
          <w:tcPr>
            <w:tcW w:w="1985" w:type="dxa"/>
            <w:tcBorders>
              <w:top w:val="nil"/>
              <w:left w:val="nil"/>
              <w:bottom w:val="single" w:sz="4" w:space="0" w:color="auto"/>
              <w:right w:val="single" w:sz="4" w:space="0" w:color="auto"/>
            </w:tcBorders>
            <w:shd w:val="clear" w:color="000000" w:fill="F4B084"/>
            <w:noWrap/>
            <w:vAlign w:val="bottom"/>
          </w:tcPr>
          <w:p w14:paraId="7B03540C"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32,40</w:t>
            </w:r>
          </w:p>
        </w:tc>
        <w:tc>
          <w:tcPr>
            <w:tcW w:w="1180" w:type="dxa"/>
            <w:tcBorders>
              <w:top w:val="nil"/>
              <w:left w:val="nil"/>
              <w:bottom w:val="single" w:sz="4" w:space="0" w:color="auto"/>
              <w:right w:val="single" w:sz="4" w:space="0" w:color="auto"/>
            </w:tcBorders>
            <w:shd w:val="clear" w:color="000000" w:fill="F4B084"/>
            <w:noWrap/>
            <w:vAlign w:val="bottom"/>
          </w:tcPr>
          <w:p w14:paraId="49BC5129"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c>
          <w:tcPr>
            <w:tcW w:w="1360" w:type="dxa"/>
            <w:tcBorders>
              <w:top w:val="nil"/>
              <w:left w:val="nil"/>
              <w:bottom w:val="single" w:sz="4" w:space="0" w:color="auto"/>
              <w:right w:val="single" w:sz="4" w:space="0" w:color="auto"/>
            </w:tcBorders>
            <w:shd w:val="clear" w:color="000000" w:fill="F4B084"/>
            <w:noWrap/>
            <w:vAlign w:val="bottom"/>
          </w:tcPr>
          <w:p w14:paraId="58827506"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c>
          <w:tcPr>
            <w:tcW w:w="1287" w:type="dxa"/>
            <w:tcBorders>
              <w:top w:val="nil"/>
              <w:left w:val="nil"/>
              <w:bottom w:val="single" w:sz="4" w:space="0" w:color="auto"/>
              <w:right w:val="single" w:sz="4" w:space="0" w:color="auto"/>
            </w:tcBorders>
            <w:shd w:val="clear" w:color="000000" w:fill="F4B084"/>
            <w:noWrap/>
            <w:vAlign w:val="bottom"/>
          </w:tcPr>
          <w:p w14:paraId="1FD04CEF"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c>
          <w:tcPr>
            <w:tcW w:w="1241" w:type="dxa"/>
            <w:tcBorders>
              <w:top w:val="nil"/>
              <w:left w:val="nil"/>
              <w:bottom w:val="single" w:sz="4" w:space="0" w:color="auto"/>
              <w:right w:val="nil"/>
            </w:tcBorders>
            <w:shd w:val="clear" w:color="000000" w:fill="F4B084"/>
            <w:noWrap/>
            <w:vAlign w:val="bottom"/>
          </w:tcPr>
          <w:p w14:paraId="152439EE"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r>
      <w:tr w:rsidR="00AD3A74" w:rsidRPr="00AD3A74" w14:paraId="1DA1FCF1" w14:textId="77777777" w:rsidTr="00226FE5">
        <w:trPr>
          <w:trHeight w:val="300"/>
        </w:trPr>
        <w:tc>
          <w:tcPr>
            <w:tcW w:w="993" w:type="dxa"/>
            <w:tcBorders>
              <w:top w:val="nil"/>
              <w:left w:val="nil"/>
              <w:bottom w:val="single" w:sz="4" w:space="0" w:color="auto"/>
              <w:right w:val="single" w:sz="4" w:space="0" w:color="auto"/>
            </w:tcBorders>
            <w:shd w:val="clear" w:color="000000" w:fill="F4B084"/>
            <w:noWrap/>
            <w:vAlign w:val="bottom"/>
          </w:tcPr>
          <w:p w14:paraId="078F38F1"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2014</w:t>
            </w:r>
          </w:p>
        </w:tc>
        <w:tc>
          <w:tcPr>
            <w:tcW w:w="1418" w:type="dxa"/>
            <w:tcBorders>
              <w:top w:val="nil"/>
              <w:left w:val="nil"/>
              <w:bottom w:val="single" w:sz="4" w:space="0" w:color="auto"/>
              <w:right w:val="single" w:sz="4" w:space="0" w:color="auto"/>
            </w:tcBorders>
            <w:shd w:val="clear" w:color="000000" w:fill="F4B084"/>
            <w:noWrap/>
            <w:vAlign w:val="bottom"/>
          </w:tcPr>
          <w:p w14:paraId="1C882A74"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340.199</w:t>
            </w:r>
          </w:p>
        </w:tc>
        <w:tc>
          <w:tcPr>
            <w:tcW w:w="1985" w:type="dxa"/>
            <w:tcBorders>
              <w:top w:val="nil"/>
              <w:left w:val="nil"/>
              <w:bottom w:val="single" w:sz="4" w:space="0" w:color="auto"/>
              <w:right w:val="single" w:sz="4" w:space="0" w:color="auto"/>
            </w:tcBorders>
            <w:shd w:val="clear" w:color="000000" w:fill="F4B084"/>
            <w:noWrap/>
            <w:vAlign w:val="bottom"/>
          </w:tcPr>
          <w:p w14:paraId="2ED160C2"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37,15</w:t>
            </w:r>
          </w:p>
        </w:tc>
        <w:tc>
          <w:tcPr>
            <w:tcW w:w="1180" w:type="dxa"/>
            <w:tcBorders>
              <w:top w:val="nil"/>
              <w:left w:val="nil"/>
              <w:bottom w:val="single" w:sz="4" w:space="0" w:color="auto"/>
              <w:right w:val="single" w:sz="4" w:space="0" w:color="auto"/>
            </w:tcBorders>
            <w:shd w:val="clear" w:color="000000" w:fill="F4B084"/>
            <w:noWrap/>
            <w:vAlign w:val="bottom"/>
          </w:tcPr>
          <w:p w14:paraId="3179CA4B"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14,68</w:t>
            </w:r>
          </w:p>
        </w:tc>
        <w:tc>
          <w:tcPr>
            <w:tcW w:w="1360" w:type="dxa"/>
            <w:tcBorders>
              <w:top w:val="nil"/>
              <w:left w:val="nil"/>
              <w:bottom w:val="single" w:sz="4" w:space="0" w:color="auto"/>
              <w:right w:val="single" w:sz="4" w:space="0" w:color="auto"/>
            </w:tcBorders>
            <w:shd w:val="clear" w:color="000000" w:fill="F4B084"/>
            <w:noWrap/>
            <w:vAlign w:val="bottom"/>
          </w:tcPr>
          <w:p w14:paraId="28527497"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3,79</w:t>
            </w:r>
          </w:p>
        </w:tc>
        <w:tc>
          <w:tcPr>
            <w:tcW w:w="1287" w:type="dxa"/>
            <w:tcBorders>
              <w:top w:val="nil"/>
              <w:left w:val="nil"/>
              <w:bottom w:val="single" w:sz="4" w:space="0" w:color="auto"/>
              <w:right w:val="single" w:sz="4" w:space="0" w:color="auto"/>
            </w:tcBorders>
            <w:shd w:val="clear" w:color="000000" w:fill="F4B084"/>
            <w:noWrap/>
            <w:vAlign w:val="bottom"/>
          </w:tcPr>
          <w:p w14:paraId="7E4F9A6C"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10,49</w:t>
            </w:r>
          </w:p>
        </w:tc>
        <w:tc>
          <w:tcPr>
            <w:tcW w:w="1241" w:type="dxa"/>
            <w:tcBorders>
              <w:top w:val="nil"/>
              <w:left w:val="nil"/>
              <w:bottom w:val="single" w:sz="4" w:space="0" w:color="auto"/>
              <w:right w:val="nil"/>
            </w:tcBorders>
            <w:shd w:val="clear" w:color="000000" w:fill="F4B084"/>
            <w:noWrap/>
            <w:vAlign w:val="bottom"/>
          </w:tcPr>
          <w:p w14:paraId="4EE40BB5"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r>
      <w:tr w:rsidR="00AD3A74" w:rsidRPr="00AD3A74" w14:paraId="148C6C4C" w14:textId="77777777" w:rsidTr="00226FE5">
        <w:trPr>
          <w:trHeight w:val="300"/>
        </w:trPr>
        <w:tc>
          <w:tcPr>
            <w:tcW w:w="993" w:type="dxa"/>
            <w:tcBorders>
              <w:top w:val="nil"/>
              <w:left w:val="nil"/>
              <w:bottom w:val="single" w:sz="4" w:space="0" w:color="auto"/>
              <w:right w:val="single" w:sz="4" w:space="0" w:color="auto"/>
            </w:tcBorders>
            <w:shd w:val="clear" w:color="000000" w:fill="F4B084"/>
            <w:noWrap/>
            <w:vAlign w:val="bottom"/>
          </w:tcPr>
          <w:p w14:paraId="6A716963"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2015</w:t>
            </w:r>
          </w:p>
        </w:tc>
        <w:tc>
          <w:tcPr>
            <w:tcW w:w="1418" w:type="dxa"/>
            <w:tcBorders>
              <w:top w:val="nil"/>
              <w:left w:val="nil"/>
              <w:bottom w:val="single" w:sz="4" w:space="0" w:color="auto"/>
              <w:right w:val="single" w:sz="4" w:space="0" w:color="auto"/>
            </w:tcBorders>
            <w:shd w:val="clear" w:color="000000" w:fill="F4B084"/>
            <w:noWrap/>
            <w:vAlign w:val="bottom"/>
          </w:tcPr>
          <w:p w14:paraId="1BE4F1E1"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340.199</w:t>
            </w:r>
          </w:p>
        </w:tc>
        <w:tc>
          <w:tcPr>
            <w:tcW w:w="1985" w:type="dxa"/>
            <w:tcBorders>
              <w:top w:val="nil"/>
              <w:left w:val="nil"/>
              <w:bottom w:val="single" w:sz="4" w:space="0" w:color="auto"/>
              <w:right w:val="single" w:sz="4" w:space="0" w:color="auto"/>
            </w:tcBorders>
            <w:shd w:val="clear" w:color="000000" w:fill="F4B084"/>
            <w:noWrap/>
            <w:vAlign w:val="bottom"/>
          </w:tcPr>
          <w:p w14:paraId="39200255"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43,81</w:t>
            </w:r>
          </w:p>
        </w:tc>
        <w:tc>
          <w:tcPr>
            <w:tcW w:w="1180" w:type="dxa"/>
            <w:tcBorders>
              <w:top w:val="nil"/>
              <w:left w:val="nil"/>
              <w:bottom w:val="single" w:sz="4" w:space="0" w:color="auto"/>
              <w:right w:val="single" w:sz="4" w:space="0" w:color="auto"/>
            </w:tcBorders>
            <w:shd w:val="clear" w:color="000000" w:fill="F4B084"/>
            <w:noWrap/>
            <w:vAlign w:val="bottom"/>
          </w:tcPr>
          <w:p w14:paraId="1C063632"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17,93</w:t>
            </w:r>
          </w:p>
        </w:tc>
        <w:tc>
          <w:tcPr>
            <w:tcW w:w="1360" w:type="dxa"/>
            <w:tcBorders>
              <w:top w:val="nil"/>
              <w:left w:val="nil"/>
              <w:bottom w:val="single" w:sz="4" w:space="0" w:color="auto"/>
              <w:right w:val="single" w:sz="4" w:space="0" w:color="auto"/>
            </w:tcBorders>
            <w:shd w:val="clear" w:color="000000" w:fill="F4B084"/>
            <w:noWrap/>
            <w:vAlign w:val="bottom"/>
          </w:tcPr>
          <w:p w14:paraId="3559E24C"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6,41</w:t>
            </w:r>
          </w:p>
        </w:tc>
        <w:tc>
          <w:tcPr>
            <w:tcW w:w="1287" w:type="dxa"/>
            <w:tcBorders>
              <w:top w:val="nil"/>
              <w:left w:val="nil"/>
              <w:bottom w:val="single" w:sz="4" w:space="0" w:color="auto"/>
              <w:right w:val="single" w:sz="4" w:space="0" w:color="auto"/>
            </w:tcBorders>
            <w:shd w:val="clear" w:color="000000" w:fill="F4B084"/>
            <w:noWrap/>
            <w:vAlign w:val="bottom"/>
          </w:tcPr>
          <w:p w14:paraId="544B580C"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10,83</w:t>
            </w:r>
          </w:p>
        </w:tc>
        <w:tc>
          <w:tcPr>
            <w:tcW w:w="1241" w:type="dxa"/>
            <w:tcBorders>
              <w:top w:val="nil"/>
              <w:left w:val="nil"/>
              <w:bottom w:val="single" w:sz="4" w:space="0" w:color="auto"/>
              <w:right w:val="nil"/>
            </w:tcBorders>
            <w:shd w:val="clear" w:color="000000" w:fill="F4B084"/>
            <w:noWrap/>
            <w:vAlign w:val="bottom"/>
          </w:tcPr>
          <w:p w14:paraId="697DA76A"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r>
      <w:tr w:rsidR="00AD3A74" w:rsidRPr="00AD3A74" w14:paraId="4E6F258E" w14:textId="77777777" w:rsidTr="00226FE5">
        <w:trPr>
          <w:trHeight w:val="315"/>
        </w:trPr>
        <w:tc>
          <w:tcPr>
            <w:tcW w:w="993" w:type="dxa"/>
            <w:tcBorders>
              <w:top w:val="nil"/>
              <w:left w:val="nil"/>
              <w:bottom w:val="single" w:sz="8" w:space="0" w:color="auto"/>
              <w:right w:val="single" w:sz="4" w:space="0" w:color="auto"/>
            </w:tcBorders>
            <w:shd w:val="clear" w:color="000000" w:fill="F4B084"/>
            <w:noWrap/>
            <w:vAlign w:val="bottom"/>
          </w:tcPr>
          <w:p w14:paraId="6A234A77"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2016</w:t>
            </w:r>
          </w:p>
        </w:tc>
        <w:tc>
          <w:tcPr>
            <w:tcW w:w="1418" w:type="dxa"/>
            <w:tcBorders>
              <w:top w:val="nil"/>
              <w:left w:val="nil"/>
              <w:bottom w:val="single" w:sz="8" w:space="0" w:color="auto"/>
              <w:right w:val="single" w:sz="4" w:space="0" w:color="auto"/>
            </w:tcBorders>
            <w:shd w:val="clear" w:color="000000" w:fill="F4B084"/>
            <w:noWrap/>
            <w:vAlign w:val="bottom"/>
          </w:tcPr>
          <w:p w14:paraId="66ECB389"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343.230</w:t>
            </w:r>
          </w:p>
        </w:tc>
        <w:tc>
          <w:tcPr>
            <w:tcW w:w="1985" w:type="dxa"/>
            <w:tcBorders>
              <w:top w:val="nil"/>
              <w:left w:val="nil"/>
              <w:bottom w:val="single" w:sz="8" w:space="0" w:color="auto"/>
              <w:right w:val="single" w:sz="4" w:space="0" w:color="auto"/>
            </w:tcBorders>
            <w:shd w:val="clear" w:color="000000" w:fill="F4B084"/>
            <w:noWrap/>
            <w:vAlign w:val="bottom"/>
          </w:tcPr>
          <w:p w14:paraId="21B075B9"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51,26</w:t>
            </w:r>
          </w:p>
        </w:tc>
        <w:tc>
          <w:tcPr>
            <w:tcW w:w="1180" w:type="dxa"/>
            <w:tcBorders>
              <w:top w:val="nil"/>
              <w:left w:val="nil"/>
              <w:bottom w:val="single" w:sz="8" w:space="0" w:color="auto"/>
              <w:right w:val="single" w:sz="4" w:space="0" w:color="auto"/>
            </w:tcBorders>
            <w:shd w:val="clear" w:color="000000" w:fill="F4B084"/>
            <w:noWrap/>
            <w:vAlign w:val="bottom"/>
          </w:tcPr>
          <w:p w14:paraId="09A103B7"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16,99</w:t>
            </w:r>
          </w:p>
        </w:tc>
        <w:tc>
          <w:tcPr>
            <w:tcW w:w="1360" w:type="dxa"/>
            <w:tcBorders>
              <w:top w:val="nil"/>
              <w:left w:val="nil"/>
              <w:bottom w:val="single" w:sz="8" w:space="0" w:color="auto"/>
              <w:right w:val="single" w:sz="4" w:space="0" w:color="auto"/>
            </w:tcBorders>
            <w:shd w:val="clear" w:color="000000" w:fill="F4B084"/>
            <w:noWrap/>
            <w:vAlign w:val="bottom"/>
          </w:tcPr>
          <w:p w14:paraId="01183E3A"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9,67</w:t>
            </w:r>
          </w:p>
        </w:tc>
        <w:tc>
          <w:tcPr>
            <w:tcW w:w="1287" w:type="dxa"/>
            <w:tcBorders>
              <w:top w:val="nil"/>
              <w:left w:val="nil"/>
              <w:bottom w:val="single" w:sz="8" w:space="0" w:color="auto"/>
              <w:right w:val="single" w:sz="4" w:space="0" w:color="auto"/>
            </w:tcBorders>
            <w:shd w:val="clear" w:color="000000" w:fill="F4B084"/>
            <w:noWrap/>
            <w:vAlign w:val="bottom"/>
          </w:tcPr>
          <w:p w14:paraId="1A17FA22"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6,67</w:t>
            </w:r>
          </w:p>
        </w:tc>
        <w:tc>
          <w:tcPr>
            <w:tcW w:w="1241" w:type="dxa"/>
            <w:tcBorders>
              <w:top w:val="nil"/>
              <w:left w:val="nil"/>
              <w:bottom w:val="single" w:sz="8" w:space="0" w:color="auto"/>
              <w:right w:val="nil"/>
            </w:tcBorders>
            <w:shd w:val="clear" w:color="000000" w:fill="F4B084"/>
            <w:noWrap/>
            <w:vAlign w:val="bottom"/>
          </w:tcPr>
          <w:p w14:paraId="24E3B3A2"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30,66</w:t>
            </w:r>
          </w:p>
        </w:tc>
      </w:tr>
      <w:tr w:rsidR="00AD3A74" w:rsidRPr="00AD3A74" w14:paraId="53171D6D" w14:textId="77777777" w:rsidTr="00226FE5">
        <w:trPr>
          <w:trHeight w:val="300"/>
        </w:trPr>
        <w:tc>
          <w:tcPr>
            <w:tcW w:w="993" w:type="dxa"/>
            <w:tcBorders>
              <w:top w:val="nil"/>
              <w:left w:val="nil"/>
              <w:bottom w:val="single" w:sz="4" w:space="0" w:color="auto"/>
              <w:right w:val="single" w:sz="4" w:space="0" w:color="auto"/>
            </w:tcBorders>
            <w:shd w:val="clear" w:color="000000" w:fill="C6E0B4"/>
            <w:noWrap/>
            <w:vAlign w:val="bottom"/>
          </w:tcPr>
          <w:p w14:paraId="190096A9"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lastRenderedPageBreak/>
              <w:t>2017</w:t>
            </w:r>
          </w:p>
        </w:tc>
        <w:tc>
          <w:tcPr>
            <w:tcW w:w="1418" w:type="dxa"/>
            <w:tcBorders>
              <w:top w:val="nil"/>
              <w:left w:val="nil"/>
              <w:bottom w:val="single" w:sz="4" w:space="0" w:color="auto"/>
              <w:right w:val="single" w:sz="4" w:space="0" w:color="auto"/>
            </w:tcBorders>
            <w:shd w:val="clear" w:color="000000" w:fill="C6E0B4"/>
            <w:noWrap/>
            <w:vAlign w:val="bottom"/>
          </w:tcPr>
          <w:p w14:paraId="46A099ED"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348.718</w:t>
            </w:r>
          </w:p>
        </w:tc>
        <w:tc>
          <w:tcPr>
            <w:tcW w:w="1985" w:type="dxa"/>
            <w:tcBorders>
              <w:top w:val="nil"/>
              <w:left w:val="nil"/>
              <w:bottom w:val="single" w:sz="4" w:space="0" w:color="auto"/>
              <w:right w:val="single" w:sz="4" w:space="0" w:color="auto"/>
            </w:tcBorders>
            <w:shd w:val="clear" w:color="000000" w:fill="C6E0B4"/>
            <w:noWrap/>
            <w:vAlign w:val="bottom"/>
          </w:tcPr>
          <w:p w14:paraId="1A3DEC58"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54,21</w:t>
            </w:r>
          </w:p>
        </w:tc>
        <w:tc>
          <w:tcPr>
            <w:tcW w:w="1180" w:type="dxa"/>
            <w:tcBorders>
              <w:top w:val="nil"/>
              <w:left w:val="nil"/>
              <w:bottom w:val="single" w:sz="4" w:space="0" w:color="auto"/>
              <w:right w:val="single" w:sz="4" w:space="0" w:color="auto"/>
            </w:tcBorders>
            <w:shd w:val="clear" w:color="000000" w:fill="C6E0B4"/>
            <w:noWrap/>
            <w:vAlign w:val="bottom"/>
          </w:tcPr>
          <w:p w14:paraId="54A0BE3D"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5,77</w:t>
            </w:r>
          </w:p>
        </w:tc>
        <w:tc>
          <w:tcPr>
            <w:tcW w:w="1360" w:type="dxa"/>
            <w:tcBorders>
              <w:top w:val="nil"/>
              <w:left w:val="nil"/>
              <w:bottom w:val="single" w:sz="4" w:space="0" w:color="auto"/>
              <w:right w:val="single" w:sz="4" w:space="0" w:color="auto"/>
            </w:tcBorders>
            <w:shd w:val="clear" w:color="000000" w:fill="C6E0B4"/>
            <w:noWrap/>
            <w:vAlign w:val="bottom"/>
          </w:tcPr>
          <w:p w14:paraId="35AF14EF"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6,29</w:t>
            </w:r>
          </w:p>
        </w:tc>
        <w:tc>
          <w:tcPr>
            <w:tcW w:w="1287" w:type="dxa"/>
            <w:tcBorders>
              <w:top w:val="nil"/>
              <w:left w:val="nil"/>
              <w:bottom w:val="single" w:sz="4" w:space="0" w:color="auto"/>
              <w:right w:val="single" w:sz="4" w:space="0" w:color="auto"/>
            </w:tcBorders>
            <w:shd w:val="clear" w:color="000000" w:fill="C6E0B4"/>
            <w:noWrap/>
            <w:vAlign w:val="bottom"/>
          </w:tcPr>
          <w:p w14:paraId="18C2E872"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-0,49</w:t>
            </w:r>
          </w:p>
        </w:tc>
        <w:tc>
          <w:tcPr>
            <w:tcW w:w="1241" w:type="dxa"/>
            <w:tcBorders>
              <w:top w:val="nil"/>
              <w:left w:val="nil"/>
              <w:bottom w:val="single" w:sz="4" w:space="0" w:color="auto"/>
              <w:right w:val="nil"/>
            </w:tcBorders>
            <w:shd w:val="clear" w:color="000000" w:fill="C6E0B4"/>
            <w:noWrap/>
            <w:vAlign w:val="bottom"/>
          </w:tcPr>
          <w:p w14:paraId="085C2C2B"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r>
      <w:tr w:rsidR="00AD3A74" w:rsidRPr="00AD3A74" w14:paraId="126CB10E" w14:textId="77777777" w:rsidTr="00226FE5">
        <w:trPr>
          <w:trHeight w:val="300"/>
        </w:trPr>
        <w:tc>
          <w:tcPr>
            <w:tcW w:w="993" w:type="dxa"/>
            <w:tcBorders>
              <w:top w:val="nil"/>
              <w:left w:val="nil"/>
              <w:bottom w:val="single" w:sz="4" w:space="0" w:color="auto"/>
              <w:right w:val="single" w:sz="4" w:space="0" w:color="auto"/>
            </w:tcBorders>
            <w:shd w:val="clear" w:color="000000" w:fill="C6E0B4"/>
            <w:noWrap/>
            <w:vAlign w:val="bottom"/>
          </w:tcPr>
          <w:p w14:paraId="38D0B417"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2018</w:t>
            </w:r>
          </w:p>
        </w:tc>
        <w:tc>
          <w:tcPr>
            <w:tcW w:w="1418" w:type="dxa"/>
            <w:tcBorders>
              <w:top w:val="nil"/>
              <w:left w:val="nil"/>
              <w:bottom w:val="single" w:sz="4" w:space="0" w:color="auto"/>
              <w:right w:val="single" w:sz="4" w:space="0" w:color="auto"/>
            </w:tcBorders>
            <w:shd w:val="clear" w:color="000000" w:fill="C6E0B4"/>
            <w:noWrap/>
            <w:vAlign w:val="bottom"/>
          </w:tcPr>
          <w:p w14:paraId="3999B9DC"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346.069</w:t>
            </w:r>
          </w:p>
        </w:tc>
        <w:tc>
          <w:tcPr>
            <w:tcW w:w="1985" w:type="dxa"/>
            <w:tcBorders>
              <w:top w:val="nil"/>
              <w:left w:val="nil"/>
              <w:bottom w:val="single" w:sz="4" w:space="0" w:color="auto"/>
              <w:right w:val="single" w:sz="4" w:space="0" w:color="auto"/>
            </w:tcBorders>
            <w:shd w:val="clear" w:color="000000" w:fill="C6E0B4"/>
            <w:noWrap/>
            <w:vAlign w:val="bottom"/>
          </w:tcPr>
          <w:p w14:paraId="597C0F27"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91,99</w:t>
            </w:r>
          </w:p>
        </w:tc>
        <w:tc>
          <w:tcPr>
            <w:tcW w:w="1180" w:type="dxa"/>
            <w:tcBorders>
              <w:top w:val="nil"/>
              <w:left w:val="nil"/>
              <w:bottom w:val="single" w:sz="4" w:space="0" w:color="auto"/>
              <w:right w:val="single" w:sz="4" w:space="0" w:color="auto"/>
            </w:tcBorders>
            <w:shd w:val="clear" w:color="000000" w:fill="C6E0B4"/>
            <w:noWrap/>
            <w:vAlign w:val="bottom"/>
          </w:tcPr>
          <w:p w14:paraId="075E2A08"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69,68</w:t>
            </w:r>
          </w:p>
        </w:tc>
        <w:tc>
          <w:tcPr>
            <w:tcW w:w="1360" w:type="dxa"/>
            <w:tcBorders>
              <w:top w:val="nil"/>
              <w:left w:val="nil"/>
              <w:bottom w:val="single" w:sz="4" w:space="0" w:color="auto"/>
              <w:right w:val="single" w:sz="4" w:space="0" w:color="auto"/>
            </w:tcBorders>
            <w:shd w:val="clear" w:color="000000" w:fill="C6E0B4"/>
            <w:noWrap/>
            <w:vAlign w:val="bottom"/>
          </w:tcPr>
          <w:p w14:paraId="427F26BC"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2,95</w:t>
            </w:r>
          </w:p>
        </w:tc>
        <w:tc>
          <w:tcPr>
            <w:tcW w:w="1287" w:type="dxa"/>
            <w:tcBorders>
              <w:top w:val="nil"/>
              <w:left w:val="nil"/>
              <w:bottom w:val="single" w:sz="4" w:space="0" w:color="auto"/>
              <w:right w:val="single" w:sz="4" w:space="0" w:color="auto"/>
            </w:tcBorders>
            <w:shd w:val="clear" w:color="000000" w:fill="C6E0B4"/>
            <w:noWrap/>
            <w:vAlign w:val="bottom"/>
          </w:tcPr>
          <w:p w14:paraId="22FDCC1F"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64,81</w:t>
            </w:r>
          </w:p>
        </w:tc>
        <w:tc>
          <w:tcPr>
            <w:tcW w:w="1241" w:type="dxa"/>
            <w:tcBorders>
              <w:top w:val="nil"/>
              <w:left w:val="nil"/>
              <w:bottom w:val="single" w:sz="4" w:space="0" w:color="auto"/>
              <w:right w:val="nil"/>
            </w:tcBorders>
            <w:shd w:val="clear" w:color="000000" w:fill="C6E0B4"/>
            <w:noWrap/>
            <w:vAlign w:val="bottom"/>
          </w:tcPr>
          <w:p w14:paraId="7D8C8239"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r>
      <w:tr w:rsidR="00AD3A74" w:rsidRPr="00AD3A74" w14:paraId="68CCAA7D" w14:textId="77777777" w:rsidTr="00226FE5">
        <w:trPr>
          <w:trHeight w:val="300"/>
        </w:trPr>
        <w:tc>
          <w:tcPr>
            <w:tcW w:w="993" w:type="dxa"/>
            <w:tcBorders>
              <w:top w:val="nil"/>
              <w:left w:val="nil"/>
              <w:bottom w:val="single" w:sz="4" w:space="0" w:color="auto"/>
              <w:right w:val="single" w:sz="4" w:space="0" w:color="auto"/>
            </w:tcBorders>
            <w:shd w:val="clear" w:color="000000" w:fill="C6E0B4"/>
            <w:noWrap/>
            <w:vAlign w:val="bottom"/>
          </w:tcPr>
          <w:p w14:paraId="6ED132BC"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2019</w:t>
            </w:r>
          </w:p>
        </w:tc>
        <w:tc>
          <w:tcPr>
            <w:tcW w:w="1418" w:type="dxa"/>
            <w:tcBorders>
              <w:top w:val="nil"/>
              <w:left w:val="nil"/>
              <w:bottom w:val="single" w:sz="4" w:space="0" w:color="auto"/>
              <w:right w:val="single" w:sz="4" w:space="0" w:color="auto"/>
            </w:tcBorders>
            <w:shd w:val="clear" w:color="000000" w:fill="C6E0B4"/>
            <w:noWrap/>
            <w:vAlign w:val="bottom"/>
          </w:tcPr>
          <w:p w14:paraId="6A944F87"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338.885</w:t>
            </w:r>
          </w:p>
        </w:tc>
        <w:tc>
          <w:tcPr>
            <w:tcW w:w="1985" w:type="dxa"/>
            <w:tcBorders>
              <w:top w:val="nil"/>
              <w:left w:val="nil"/>
              <w:bottom w:val="single" w:sz="4" w:space="0" w:color="auto"/>
              <w:right w:val="single" w:sz="4" w:space="0" w:color="auto"/>
            </w:tcBorders>
            <w:shd w:val="clear" w:color="000000" w:fill="C6E0B4"/>
            <w:noWrap/>
            <w:vAlign w:val="bottom"/>
          </w:tcPr>
          <w:p w14:paraId="56BBEA59"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97,76</w:t>
            </w:r>
          </w:p>
        </w:tc>
        <w:tc>
          <w:tcPr>
            <w:tcW w:w="1180" w:type="dxa"/>
            <w:tcBorders>
              <w:top w:val="nil"/>
              <w:left w:val="nil"/>
              <w:bottom w:val="single" w:sz="4" w:space="0" w:color="auto"/>
              <w:right w:val="single" w:sz="4" w:space="0" w:color="auto"/>
            </w:tcBorders>
            <w:shd w:val="clear" w:color="000000" w:fill="C6E0B4"/>
            <w:noWrap/>
            <w:vAlign w:val="bottom"/>
          </w:tcPr>
          <w:p w14:paraId="021A3F4A"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6,27</w:t>
            </w:r>
          </w:p>
        </w:tc>
        <w:tc>
          <w:tcPr>
            <w:tcW w:w="1360" w:type="dxa"/>
            <w:tcBorders>
              <w:top w:val="nil"/>
              <w:left w:val="nil"/>
              <w:bottom w:val="single" w:sz="4" w:space="0" w:color="auto"/>
              <w:right w:val="single" w:sz="4" w:space="0" w:color="auto"/>
            </w:tcBorders>
            <w:shd w:val="clear" w:color="000000" w:fill="C6E0B4"/>
            <w:noWrap/>
            <w:vAlign w:val="bottom"/>
          </w:tcPr>
          <w:p w14:paraId="43FA9D06"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3,75</w:t>
            </w:r>
          </w:p>
        </w:tc>
        <w:tc>
          <w:tcPr>
            <w:tcW w:w="1287" w:type="dxa"/>
            <w:tcBorders>
              <w:top w:val="nil"/>
              <w:left w:val="nil"/>
              <w:bottom w:val="single" w:sz="4" w:space="0" w:color="auto"/>
              <w:right w:val="single" w:sz="4" w:space="0" w:color="auto"/>
            </w:tcBorders>
            <w:shd w:val="clear" w:color="000000" w:fill="C6E0B4"/>
            <w:noWrap/>
            <w:vAlign w:val="bottom"/>
          </w:tcPr>
          <w:p w14:paraId="0066D04B"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2,43</w:t>
            </w:r>
          </w:p>
        </w:tc>
        <w:tc>
          <w:tcPr>
            <w:tcW w:w="1241" w:type="dxa"/>
            <w:tcBorders>
              <w:top w:val="nil"/>
              <w:left w:val="nil"/>
              <w:bottom w:val="single" w:sz="4" w:space="0" w:color="auto"/>
              <w:right w:val="nil"/>
            </w:tcBorders>
            <w:shd w:val="clear" w:color="000000" w:fill="C6E0B4"/>
            <w:noWrap/>
            <w:vAlign w:val="bottom"/>
          </w:tcPr>
          <w:p w14:paraId="035180F3"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90,73</w:t>
            </w:r>
          </w:p>
        </w:tc>
      </w:tr>
      <w:tr w:rsidR="00AD3A74" w:rsidRPr="00AD3A74" w14:paraId="2AF3F094" w14:textId="77777777" w:rsidTr="00226FE5">
        <w:trPr>
          <w:trHeight w:val="315"/>
        </w:trPr>
        <w:tc>
          <w:tcPr>
            <w:tcW w:w="993" w:type="dxa"/>
            <w:tcBorders>
              <w:top w:val="nil"/>
              <w:left w:val="nil"/>
              <w:bottom w:val="single" w:sz="8" w:space="0" w:color="auto"/>
              <w:right w:val="single" w:sz="4" w:space="0" w:color="auto"/>
            </w:tcBorders>
            <w:shd w:val="clear" w:color="000000" w:fill="C6E0B4"/>
            <w:noWrap/>
            <w:vAlign w:val="bottom"/>
          </w:tcPr>
          <w:p w14:paraId="0EB57F2D"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2020</w:t>
            </w:r>
          </w:p>
        </w:tc>
        <w:tc>
          <w:tcPr>
            <w:tcW w:w="1418" w:type="dxa"/>
            <w:tcBorders>
              <w:top w:val="nil"/>
              <w:left w:val="nil"/>
              <w:bottom w:val="single" w:sz="8" w:space="0" w:color="auto"/>
              <w:right w:val="single" w:sz="4" w:space="0" w:color="auto"/>
            </w:tcBorders>
            <w:shd w:val="clear" w:color="000000" w:fill="C6E0B4"/>
            <w:noWrap/>
            <w:vAlign w:val="bottom"/>
          </w:tcPr>
          <w:p w14:paraId="63DCABF9"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338.480</w:t>
            </w:r>
          </w:p>
        </w:tc>
        <w:tc>
          <w:tcPr>
            <w:tcW w:w="1985" w:type="dxa"/>
            <w:tcBorders>
              <w:top w:val="nil"/>
              <w:left w:val="nil"/>
              <w:bottom w:val="single" w:sz="8" w:space="0" w:color="auto"/>
              <w:right w:val="single" w:sz="4" w:space="0" w:color="auto"/>
            </w:tcBorders>
            <w:shd w:val="clear" w:color="000000" w:fill="C6E0B4"/>
            <w:noWrap/>
            <w:vAlign w:val="bottom"/>
          </w:tcPr>
          <w:p w14:paraId="23BE6C5D"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92,18</w:t>
            </w:r>
          </w:p>
        </w:tc>
        <w:tc>
          <w:tcPr>
            <w:tcW w:w="1180" w:type="dxa"/>
            <w:tcBorders>
              <w:top w:val="nil"/>
              <w:left w:val="nil"/>
              <w:bottom w:val="single" w:sz="8" w:space="0" w:color="auto"/>
              <w:right w:val="single" w:sz="4" w:space="0" w:color="auto"/>
            </w:tcBorders>
            <w:shd w:val="clear" w:color="000000" w:fill="C6E0B4"/>
            <w:noWrap/>
            <w:vAlign w:val="bottom"/>
          </w:tcPr>
          <w:p w14:paraId="5B4FFDC1"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-5,71</w:t>
            </w:r>
          </w:p>
        </w:tc>
        <w:tc>
          <w:tcPr>
            <w:tcW w:w="1360" w:type="dxa"/>
            <w:tcBorders>
              <w:top w:val="nil"/>
              <w:left w:val="nil"/>
              <w:bottom w:val="single" w:sz="8" w:space="0" w:color="auto"/>
              <w:right w:val="single" w:sz="4" w:space="0" w:color="auto"/>
            </w:tcBorders>
            <w:shd w:val="clear" w:color="000000" w:fill="C6E0B4"/>
            <w:noWrap/>
            <w:vAlign w:val="bottom"/>
          </w:tcPr>
          <w:p w14:paraId="26C6CA61"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4,31</w:t>
            </w:r>
          </w:p>
        </w:tc>
        <w:tc>
          <w:tcPr>
            <w:tcW w:w="1287" w:type="dxa"/>
            <w:tcBorders>
              <w:top w:val="nil"/>
              <w:left w:val="nil"/>
              <w:bottom w:val="single" w:sz="8" w:space="0" w:color="auto"/>
              <w:right w:val="single" w:sz="4" w:space="0" w:color="auto"/>
            </w:tcBorders>
            <w:shd w:val="clear" w:color="000000" w:fill="C6E0B4"/>
            <w:noWrap/>
            <w:vAlign w:val="bottom"/>
          </w:tcPr>
          <w:p w14:paraId="334EA8FB"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-9,61</w:t>
            </w:r>
          </w:p>
        </w:tc>
        <w:tc>
          <w:tcPr>
            <w:tcW w:w="1241" w:type="dxa"/>
            <w:tcBorders>
              <w:top w:val="nil"/>
              <w:left w:val="nil"/>
              <w:bottom w:val="single" w:sz="8" w:space="0" w:color="auto"/>
              <w:right w:val="nil"/>
            </w:tcBorders>
            <w:shd w:val="clear" w:color="000000" w:fill="C6E0B4"/>
            <w:noWrap/>
            <w:vAlign w:val="bottom"/>
          </w:tcPr>
          <w:p w14:paraId="6BB5726F"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79,84</w:t>
            </w:r>
          </w:p>
        </w:tc>
      </w:tr>
      <w:tr w:rsidR="00AD3A74" w:rsidRPr="00AD3A74" w14:paraId="37989A66" w14:textId="77777777" w:rsidTr="00226FE5">
        <w:trPr>
          <w:trHeight w:val="300"/>
        </w:trPr>
        <w:tc>
          <w:tcPr>
            <w:tcW w:w="993" w:type="dxa"/>
            <w:tcBorders>
              <w:top w:val="nil"/>
              <w:left w:val="nil"/>
              <w:bottom w:val="single" w:sz="4" w:space="0" w:color="auto"/>
              <w:right w:val="single" w:sz="4" w:space="0" w:color="auto"/>
            </w:tcBorders>
            <w:shd w:val="clear" w:color="000000" w:fill="D9E1F2"/>
            <w:noWrap/>
            <w:vAlign w:val="bottom"/>
          </w:tcPr>
          <w:p w14:paraId="6B61391A"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2021</w:t>
            </w:r>
          </w:p>
        </w:tc>
        <w:tc>
          <w:tcPr>
            <w:tcW w:w="1418" w:type="dxa"/>
            <w:tcBorders>
              <w:top w:val="nil"/>
              <w:left w:val="nil"/>
              <w:bottom w:val="single" w:sz="4" w:space="0" w:color="auto"/>
              <w:right w:val="single" w:sz="4" w:space="0" w:color="auto"/>
            </w:tcBorders>
            <w:shd w:val="clear" w:color="000000" w:fill="D9E1F2"/>
            <w:noWrap/>
            <w:vAlign w:val="bottom"/>
          </w:tcPr>
          <w:p w14:paraId="0BD88466"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341.128</w:t>
            </w:r>
          </w:p>
        </w:tc>
        <w:tc>
          <w:tcPr>
            <w:tcW w:w="1985" w:type="dxa"/>
            <w:tcBorders>
              <w:top w:val="nil"/>
              <w:left w:val="nil"/>
              <w:bottom w:val="single" w:sz="4" w:space="0" w:color="auto"/>
              <w:right w:val="single" w:sz="4" w:space="0" w:color="auto"/>
            </w:tcBorders>
            <w:shd w:val="clear" w:color="000000" w:fill="D9E1F2"/>
            <w:noWrap/>
            <w:vAlign w:val="bottom"/>
          </w:tcPr>
          <w:p w14:paraId="0C5BEA8A"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134,21</w:t>
            </w:r>
          </w:p>
        </w:tc>
        <w:tc>
          <w:tcPr>
            <w:tcW w:w="1180" w:type="dxa"/>
            <w:tcBorders>
              <w:top w:val="nil"/>
              <w:left w:val="nil"/>
              <w:bottom w:val="single" w:sz="4" w:space="0" w:color="auto"/>
              <w:right w:val="single" w:sz="4" w:space="0" w:color="auto"/>
            </w:tcBorders>
            <w:shd w:val="clear" w:color="000000" w:fill="D9E1F2"/>
            <w:noWrap/>
            <w:vAlign w:val="bottom"/>
          </w:tcPr>
          <w:p w14:paraId="3D416D6D"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45,59</w:t>
            </w:r>
          </w:p>
        </w:tc>
        <w:tc>
          <w:tcPr>
            <w:tcW w:w="1360" w:type="dxa"/>
            <w:tcBorders>
              <w:top w:val="nil"/>
              <w:left w:val="nil"/>
              <w:bottom w:val="single" w:sz="4" w:space="0" w:color="auto"/>
              <w:right w:val="single" w:sz="4" w:space="0" w:color="auto"/>
            </w:tcBorders>
            <w:shd w:val="clear" w:color="000000" w:fill="D9E1F2"/>
            <w:noWrap/>
            <w:vAlign w:val="bottom"/>
          </w:tcPr>
          <w:p w14:paraId="120FB868"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4,52</w:t>
            </w:r>
          </w:p>
        </w:tc>
        <w:tc>
          <w:tcPr>
            <w:tcW w:w="1287" w:type="dxa"/>
            <w:tcBorders>
              <w:top w:val="nil"/>
              <w:left w:val="nil"/>
              <w:bottom w:val="single" w:sz="4" w:space="0" w:color="auto"/>
              <w:right w:val="single" w:sz="4" w:space="0" w:color="auto"/>
            </w:tcBorders>
            <w:shd w:val="clear" w:color="000000" w:fill="D9E1F2"/>
            <w:noWrap/>
            <w:vAlign w:val="bottom"/>
          </w:tcPr>
          <w:p w14:paraId="00221E0A"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39,29</w:t>
            </w:r>
          </w:p>
        </w:tc>
        <w:tc>
          <w:tcPr>
            <w:tcW w:w="1241" w:type="dxa"/>
            <w:tcBorders>
              <w:top w:val="nil"/>
              <w:left w:val="nil"/>
              <w:bottom w:val="single" w:sz="4" w:space="0" w:color="auto"/>
              <w:right w:val="nil"/>
            </w:tcBorders>
            <w:shd w:val="clear" w:color="000000" w:fill="D9E1F2"/>
            <w:noWrap/>
            <w:vAlign w:val="bottom"/>
          </w:tcPr>
          <w:p w14:paraId="37E71836"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r>
      <w:tr w:rsidR="00AD3A74" w:rsidRPr="00AD3A74" w14:paraId="7A24B306" w14:textId="77777777" w:rsidTr="00226FE5">
        <w:trPr>
          <w:trHeight w:val="300"/>
        </w:trPr>
        <w:tc>
          <w:tcPr>
            <w:tcW w:w="993" w:type="dxa"/>
            <w:tcBorders>
              <w:top w:val="nil"/>
              <w:left w:val="nil"/>
              <w:bottom w:val="single" w:sz="4" w:space="0" w:color="auto"/>
              <w:right w:val="single" w:sz="4" w:space="0" w:color="auto"/>
            </w:tcBorders>
            <w:shd w:val="clear" w:color="000000" w:fill="D9E1F2"/>
            <w:noWrap/>
            <w:vAlign w:val="bottom"/>
          </w:tcPr>
          <w:p w14:paraId="7468078E"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2022</w:t>
            </w:r>
          </w:p>
        </w:tc>
        <w:tc>
          <w:tcPr>
            <w:tcW w:w="1418" w:type="dxa"/>
            <w:tcBorders>
              <w:top w:val="nil"/>
              <w:left w:val="nil"/>
              <w:bottom w:val="single" w:sz="4" w:space="0" w:color="auto"/>
              <w:right w:val="single" w:sz="4" w:space="0" w:color="auto"/>
            </w:tcBorders>
            <w:shd w:val="clear" w:color="000000" w:fill="D9E1F2"/>
            <w:noWrap/>
            <w:vAlign w:val="bottom"/>
          </w:tcPr>
          <w:p w14:paraId="55F6BDE2"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343.643</w:t>
            </w:r>
          </w:p>
        </w:tc>
        <w:tc>
          <w:tcPr>
            <w:tcW w:w="1985" w:type="dxa"/>
            <w:tcBorders>
              <w:top w:val="nil"/>
              <w:left w:val="nil"/>
              <w:bottom w:val="single" w:sz="4" w:space="0" w:color="auto"/>
              <w:right w:val="single" w:sz="4" w:space="0" w:color="auto"/>
            </w:tcBorders>
            <w:shd w:val="clear" w:color="000000" w:fill="D9E1F2"/>
            <w:noWrap/>
            <w:vAlign w:val="bottom"/>
          </w:tcPr>
          <w:p w14:paraId="75DF6522"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132,75</w:t>
            </w:r>
          </w:p>
        </w:tc>
        <w:tc>
          <w:tcPr>
            <w:tcW w:w="1180" w:type="dxa"/>
            <w:tcBorders>
              <w:top w:val="nil"/>
              <w:left w:val="nil"/>
              <w:bottom w:val="single" w:sz="4" w:space="0" w:color="auto"/>
              <w:right w:val="single" w:sz="4" w:space="0" w:color="auto"/>
            </w:tcBorders>
            <w:shd w:val="clear" w:color="000000" w:fill="D9E1F2"/>
            <w:noWrap/>
            <w:vAlign w:val="bottom"/>
          </w:tcPr>
          <w:p w14:paraId="1637C7FC"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-1,08</w:t>
            </w:r>
          </w:p>
        </w:tc>
        <w:tc>
          <w:tcPr>
            <w:tcW w:w="1360" w:type="dxa"/>
            <w:tcBorders>
              <w:top w:val="nil"/>
              <w:left w:val="nil"/>
              <w:bottom w:val="single" w:sz="4" w:space="0" w:color="auto"/>
              <w:right w:val="single" w:sz="4" w:space="0" w:color="auto"/>
            </w:tcBorders>
            <w:shd w:val="clear" w:color="000000" w:fill="D9E1F2"/>
            <w:noWrap/>
            <w:vAlign w:val="bottom"/>
          </w:tcPr>
          <w:p w14:paraId="74FFC11F"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3,22</w:t>
            </w:r>
          </w:p>
        </w:tc>
        <w:tc>
          <w:tcPr>
            <w:tcW w:w="1287" w:type="dxa"/>
            <w:tcBorders>
              <w:top w:val="nil"/>
              <w:left w:val="nil"/>
              <w:bottom w:val="single" w:sz="4" w:space="0" w:color="auto"/>
              <w:right w:val="single" w:sz="4" w:space="0" w:color="auto"/>
            </w:tcBorders>
            <w:shd w:val="clear" w:color="000000" w:fill="D9E1F2"/>
            <w:noWrap/>
            <w:vAlign w:val="bottom"/>
          </w:tcPr>
          <w:p w14:paraId="12A0B368"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-4,17</w:t>
            </w:r>
          </w:p>
        </w:tc>
        <w:tc>
          <w:tcPr>
            <w:tcW w:w="1241" w:type="dxa"/>
            <w:tcBorders>
              <w:top w:val="nil"/>
              <w:left w:val="nil"/>
              <w:bottom w:val="single" w:sz="4" w:space="0" w:color="auto"/>
              <w:right w:val="nil"/>
            </w:tcBorders>
            <w:shd w:val="clear" w:color="000000" w:fill="D9E1F2"/>
            <w:noWrap/>
            <w:vAlign w:val="bottom"/>
          </w:tcPr>
          <w:p w14:paraId="3A0F5B0C"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r>
      <w:tr w:rsidR="00AD3A74" w:rsidRPr="00AD3A74" w14:paraId="64B3BC6C" w14:textId="77777777" w:rsidTr="00226FE5">
        <w:trPr>
          <w:trHeight w:val="300"/>
        </w:trPr>
        <w:tc>
          <w:tcPr>
            <w:tcW w:w="993" w:type="dxa"/>
            <w:tcBorders>
              <w:top w:val="nil"/>
              <w:left w:val="nil"/>
              <w:bottom w:val="single" w:sz="4" w:space="0" w:color="auto"/>
              <w:right w:val="single" w:sz="4" w:space="0" w:color="auto"/>
            </w:tcBorders>
            <w:shd w:val="clear" w:color="000000" w:fill="D9E1F2"/>
            <w:noWrap/>
            <w:vAlign w:val="bottom"/>
          </w:tcPr>
          <w:p w14:paraId="6CF4DAF2"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2023</w:t>
            </w:r>
          </w:p>
        </w:tc>
        <w:tc>
          <w:tcPr>
            <w:tcW w:w="1418" w:type="dxa"/>
            <w:tcBorders>
              <w:top w:val="nil"/>
              <w:left w:val="nil"/>
              <w:bottom w:val="single" w:sz="4" w:space="0" w:color="auto"/>
              <w:right w:val="single" w:sz="4" w:space="0" w:color="auto"/>
            </w:tcBorders>
            <w:shd w:val="clear" w:color="000000" w:fill="D9E1F2"/>
            <w:noWrap/>
            <w:vAlign w:val="bottom"/>
          </w:tcPr>
          <w:p w14:paraId="08807A2B"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343.643</w:t>
            </w:r>
          </w:p>
        </w:tc>
        <w:tc>
          <w:tcPr>
            <w:tcW w:w="1985" w:type="dxa"/>
            <w:tcBorders>
              <w:top w:val="nil"/>
              <w:left w:val="nil"/>
              <w:bottom w:val="single" w:sz="4" w:space="0" w:color="auto"/>
              <w:right w:val="single" w:sz="4" w:space="0" w:color="auto"/>
            </w:tcBorders>
            <w:shd w:val="clear" w:color="000000" w:fill="D9E1F2"/>
            <w:noWrap/>
            <w:vAlign w:val="bottom"/>
          </w:tcPr>
          <w:p w14:paraId="43DB67A9"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165,47</w:t>
            </w:r>
          </w:p>
        </w:tc>
        <w:tc>
          <w:tcPr>
            <w:tcW w:w="1180" w:type="dxa"/>
            <w:tcBorders>
              <w:top w:val="nil"/>
              <w:left w:val="nil"/>
              <w:bottom w:val="single" w:sz="4" w:space="0" w:color="auto"/>
              <w:right w:val="single" w:sz="4" w:space="0" w:color="auto"/>
            </w:tcBorders>
            <w:shd w:val="clear" w:color="000000" w:fill="D9E1F2"/>
            <w:noWrap/>
            <w:vAlign w:val="bottom"/>
          </w:tcPr>
          <w:p w14:paraId="5324A665"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24,65</w:t>
            </w:r>
          </w:p>
        </w:tc>
        <w:tc>
          <w:tcPr>
            <w:tcW w:w="1360" w:type="dxa"/>
            <w:tcBorders>
              <w:top w:val="nil"/>
              <w:left w:val="nil"/>
              <w:bottom w:val="single" w:sz="4" w:space="0" w:color="auto"/>
              <w:right w:val="single" w:sz="4" w:space="0" w:color="auto"/>
            </w:tcBorders>
            <w:shd w:val="clear" w:color="000000" w:fill="D9E1F2"/>
            <w:noWrap/>
            <w:vAlign w:val="bottom"/>
          </w:tcPr>
          <w:p w14:paraId="40104F07"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5,79</w:t>
            </w:r>
          </w:p>
        </w:tc>
        <w:tc>
          <w:tcPr>
            <w:tcW w:w="1287" w:type="dxa"/>
            <w:tcBorders>
              <w:top w:val="nil"/>
              <w:left w:val="nil"/>
              <w:bottom w:val="single" w:sz="4" w:space="0" w:color="auto"/>
              <w:right w:val="single" w:sz="4" w:space="0" w:color="auto"/>
            </w:tcBorders>
            <w:shd w:val="clear" w:color="000000" w:fill="D9E1F2"/>
            <w:noWrap/>
            <w:vAlign w:val="bottom"/>
          </w:tcPr>
          <w:p w14:paraId="4CB48D51"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17,83</w:t>
            </w:r>
          </w:p>
        </w:tc>
        <w:tc>
          <w:tcPr>
            <w:tcW w:w="1241" w:type="dxa"/>
            <w:tcBorders>
              <w:top w:val="nil"/>
              <w:left w:val="nil"/>
              <w:bottom w:val="single" w:sz="4" w:space="0" w:color="auto"/>
              <w:right w:val="nil"/>
            </w:tcBorders>
            <w:shd w:val="clear" w:color="000000" w:fill="D9E1F2"/>
            <w:noWrap/>
            <w:vAlign w:val="bottom"/>
          </w:tcPr>
          <w:p w14:paraId="459E4B18"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79,51</w:t>
            </w:r>
          </w:p>
        </w:tc>
      </w:tr>
      <w:tr w:rsidR="00AD3A74" w:rsidRPr="00AD3A74" w14:paraId="3933401E" w14:textId="77777777" w:rsidTr="00226FE5">
        <w:trPr>
          <w:trHeight w:val="315"/>
        </w:trPr>
        <w:tc>
          <w:tcPr>
            <w:tcW w:w="993" w:type="dxa"/>
            <w:tcBorders>
              <w:top w:val="nil"/>
              <w:left w:val="nil"/>
              <w:bottom w:val="single" w:sz="8" w:space="0" w:color="auto"/>
              <w:right w:val="single" w:sz="4" w:space="0" w:color="auto"/>
            </w:tcBorders>
            <w:shd w:val="clear" w:color="000000" w:fill="D9E1F2"/>
            <w:noWrap/>
            <w:vAlign w:val="bottom"/>
          </w:tcPr>
          <w:p w14:paraId="5E5059DE"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2024</w:t>
            </w:r>
          </w:p>
        </w:tc>
        <w:tc>
          <w:tcPr>
            <w:tcW w:w="1418" w:type="dxa"/>
            <w:tcBorders>
              <w:top w:val="nil"/>
              <w:left w:val="nil"/>
              <w:bottom w:val="single" w:sz="8" w:space="0" w:color="000000"/>
              <w:right w:val="single" w:sz="8" w:space="0" w:color="000000"/>
            </w:tcBorders>
            <w:shd w:val="clear" w:color="000000" w:fill="D9E1F2"/>
            <w:vAlign w:val="center"/>
          </w:tcPr>
          <w:p w14:paraId="4B94834C"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 387.524</w:t>
            </w:r>
          </w:p>
        </w:tc>
        <w:tc>
          <w:tcPr>
            <w:tcW w:w="1985" w:type="dxa"/>
            <w:tcBorders>
              <w:top w:val="nil"/>
              <w:left w:val="nil"/>
              <w:bottom w:val="single" w:sz="8" w:space="0" w:color="000000"/>
              <w:right w:val="single" w:sz="8" w:space="0" w:color="000000"/>
            </w:tcBorders>
            <w:shd w:val="clear" w:color="000000" w:fill="D9E1F2"/>
            <w:vAlign w:val="bottom"/>
          </w:tcPr>
          <w:p w14:paraId="1B7DD8CC"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146,72</w:t>
            </w:r>
          </w:p>
        </w:tc>
        <w:tc>
          <w:tcPr>
            <w:tcW w:w="1180" w:type="dxa"/>
            <w:tcBorders>
              <w:top w:val="nil"/>
              <w:left w:val="nil"/>
              <w:bottom w:val="single" w:sz="8" w:space="0" w:color="000000"/>
              <w:right w:val="single" w:sz="8" w:space="0" w:color="000000"/>
            </w:tcBorders>
            <w:shd w:val="clear" w:color="000000" w:fill="D9E1F2"/>
            <w:vAlign w:val="center"/>
          </w:tcPr>
          <w:p w14:paraId="45F2C9F3"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 -11,33</w:t>
            </w:r>
          </w:p>
        </w:tc>
        <w:tc>
          <w:tcPr>
            <w:tcW w:w="1360" w:type="dxa"/>
            <w:tcBorders>
              <w:top w:val="nil"/>
              <w:left w:val="nil"/>
              <w:bottom w:val="single" w:sz="8" w:space="0" w:color="000000"/>
              <w:right w:val="single" w:sz="8" w:space="0" w:color="000000"/>
            </w:tcBorders>
            <w:shd w:val="clear" w:color="000000" w:fill="D9E1F2"/>
            <w:vAlign w:val="center"/>
          </w:tcPr>
          <w:p w14:paraId="0E3A3FD4"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4,62</w:t>
            </w:r>
          </w:p>
        </w:tc>
        <w:tc>
          <w:tcPr>
            <w:tcW w:w="1287" w:type="dxa"/>
            <w:tcBorders>
              <w:top w:val="nil"/>
              <w:left w:val="nil"/>
              <w:bottom w:val="single" w:sz="8" w:space="0" w:color="000000"/>
              <w:right w:val="single" w:sz="8" w:space="0" w:color="000000"/>
            </w:tcBorders>
            <w:shd w:val="clear" w:color="000000" w:fill="D9E1F2"/>
            <w:vAlign w:val="center"/>
          </w:tcPr>
          <w:p w14:paraId="6BAF659B"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 -15,25</w:t>
            </w:r>
          </w:p>
        </w:tc>
        <w:tc>
          <w:tcPr>
            <w:tcW w:w="1241" w:type="dxa"/>
            <w:tcBorders>
              <w:top w:val="nil"/>
              <w:left w:val="single" w:sz="4" w:space="0" w:color="auto"/>
              <w:bottom w:val="single" w:sz="8" w:space="0" w:color="auto"/>
              <w:right w:val="nil"/>
            </w:tcBorders>
            <w:shd w:val="clear" w:color="000000" w:fill="D9E1F2"/>
            <w:noWrap/>
            <w:vAlign w:val="bottom"/>
          </w:tcPr>
          <w:p w14:paraId="42D9D0FD"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59,17</w:t>
            </w:r>
          </w:p>
        </w:tc>
      </w:tr>
    </w:tbl>
    <w:p w14:paraId="7E2FA04D" w14:textId="77777777" w:rsidR="00AD3A74" w:rsidRPr="00AD3A74" w:rsidRDefault="00AD3A74" w:rsidP="00AD3A74">
      <w:pPr>
        <w:spacing w:line="240" w:lineRule="auto"/>
        <w:jc w:val="both"/>
        <w:rPr>
          <w:rFonts w:ascii="Garamond" w:eastAsia="Garamond" w:hAnsi="Garamond" w:cs="Garamond"/>
          <w:sz w:val="20"/>
          <w:szCs w:val="20"/>
        </w:rPr>
      </w:pPr>
      <w:r w:rsidRPr="00AD3A74">
        <w:rPr>
          <w:rFonts w:ascii="Garamond" w:eastAsia="Garamond" w:hAnsi="Garamond" w:cs="Garamond"/>
          <w:sz w:val="20"/>
          <w:szCs w:val="20"/>
        </w:rPr>
        <w:t xml:space="preserve">Fonte: Elaboração própria, com base nos dados do </w:t>
      </w:r>
      <w:proofErr w:type="spellStart"/>
      <w:r w:rsidRPr="00AD3A74">
        <w:rPr>
          <w:rFonts w:ascii="Garamond" w:eastAsia="Garamond" w:hAnsi="Garamond" w:cs="Garamond"/>
          <w:sz w:val="20"/>
          <w:szCs w:val="20"/>
        </w:rPr>
        <w:t>Finbra</w:t>
      </w:r>
      <w:proofErr w:type="spellEnd"/>
      <w:r w:rsidRPr="00AD3A74">
        <w:rPr>
          <w:rFonts w:ascii="Garamond" w:eastAsia="Garamond" w:hAnsi="Garamond" w:cs="Garamond"/>
          <w:sz w:val="20"/>
          <w:szCs w:val="20"/>
        </w:rPr>
        <w:t>/</w:t>
      </w:r>
      <w:proofErr w:type="spellStart"/>
      <w:r w:rsidRPr="00AD3A74">
        <w:rPr>
          <w:rFonts w:ascii="Garamond" w:eastAsia="Garamond" w:hAnsi="Garamond" w:cs="Garamond"/>
          <w:sz w:val="20"/>
          <w:szCs w:val="20"/>
        </w:rPr>
        <w:t>Siconfi</w:t>
      </w:r>
      <w:proofErr w:type="spellEnd"/>
      <w:r w:rsidRPr="00AD3A74">
        <w:rPr>
          <w:rFonts w:ascii="Garamond" w:eastAsia="Garamond" w:hAnsi="Garamond" w:cs="Garamond"/>
          <w:sz w:val="20"/>
          <w:szCs w:val="20"/>
        </w:rPr>
        <w:t>/STN (2013-2024)</w:t>
      </w:r>
    </w:p>
    <w:p w14:paraId="0425AF46" w14:textId="77777777" w:rsidR="00AD3A74" w:rsidRPr="00AD3A74" w:rsidRDefault="00AD3A74" w:rsidP="00AD3A74">
      <w:pPr>
        <w:spacing w:line="360" w:lineRule="auto"/>
        <w:jc w:val="both"/>
        <w:rPr>
          <w:rFonts w:ascii="Times New Roman" w:eastAsia="Times New Roman" w:hAnsi="Times New Roman" w:cs="Times New Roman"/>
        </w:rPr>
      </w:pPr>
    </w:p>
    <w:p w14:paraId="34C1C94D" w14:textId="77777777" w:rsidR="00AD3A74" w:rsidRPr="00AD3A74" w:rsidRDefault="00AD3A74" w:rsidP="00AD3A74">
      <w:pPr>
        <w:spacing w:line="360" w:lineRule="auto"/>
        <w:jc w:val="both"/>
        <w:rPr>
          <w:rFonts w:ascii="Times New Roman" w:eastAsia="Times New Roman" w:hAnsi="Times New Roman" w:cs="Times New Roman"/>
        </w:rPr>
      </w:pPr>
    </w:p>
    <w:p w14:paraId="095463A5" w14:textId="77777777" w:rsidR="00AD3A74" w:rsidRPr="00AD3A74" w:rsidRDefault="00AD3A74" w:rsidP="00AD3A74">
      <w:pPr>
        <w:spacing w:line="360" w:lineRule="auto"/>
        <w:jc w:val="both"/>
        <w:rPr>
          <w:rFonts w:ascii="Times New Roman" w:eastAsia="Times New Roman" w:hAnsi="Times New Roman" w:cs="Times New Roman"/>
          <w:sz w:val="24"/>
          <w:szCs w:val="24"/>
        </w:rPr>
      </w:pPr>
      <w:r w:rsidRPr="00AD3A74">
        <w:rPr>
          <w:rFonts w:ascii="Times New Roman" w:eastAsia="Times New Roman" w:hAnsi="Times New Roman" w:cs="Times New Roman"/>
        </w:rPr>
        <w:tab/>
      </w:r>
      <w:r w:rsidRPr="00AD3A74">
        <w:rPr>
          <w:rFonts w:ascii="Times New Roman" w:eastAsia="Times New Roman" w:hAnsi="Times New Roman" w:cs="Times New Roman"/>
          <w:sz w:val="24"/>
          <w:szCs w:val="24"/>
        </w:rPr>
        <w:t xml:space="preserve">A Tabela 2 mostra as variações nominais e a variação real - descontada a inflação (IPCA) – para o período analisado. Como pode ser observado, as variações são mais acentuadas no segundo ano do mandato de </w:t>
      </w:r>
      <w:proofErr w:type="spellStart"/>
      <w:r w:rsidRPr="00AD3A74">
        <w:rPr>
          <w:rFonts w:ascii="Times New Roman" w:eastAsia="Times New Roman" w:hAnsi="Times New Roman" w:cs="Times New Roman"/>
          <w:sz w:val="24"/>
          <w:szCs w:val="24"/>
        </w:rPr>
        <w:t>Herzem</w:t>
      </w:r>
      <w:proofErr w:type="spellEnd"/>
      <w:r w:rsidRPr="00AD3A74">
        <w:rPr>
          <w:rFonts w:ascii="Times New Roman" w:eastAsia="Times New Roman" w:hAnsi="Times New Roman" w:cs="Times New Roman"/>
          <w:sz w:val="24"/>
          <w:szCs w:val="24"/>
        </w:rPr>
        <w:t xml:space="preserve"> Gusmão, alcançando 64,81% em termos reais e no primeiro ano do mandato de Sheila Lemos, com aumento real de 39,29%. Entre os três prefeitos analisados, </w:t>
      </w:r>
      <w:proofErr w:type="spellStart"/>
      <w:r w:rsidRPr="00AD3A74">
        <w:rPr>
          <w:rFonts w:ascii="Times New Roman" w:eastAsia="Times New Roman" w:hAnsi="Times New Roman" w:cs="Times New Roman"/>
          <w:sz w:val="24"/>
          <w:szCs w:val="24"/>
        </w:rPr>
        <w:t>Herzem</w:t>
      </w:r>
      <w:proofErr w:type="spellEnd"/>
      <w:r w:rsidRPr="00AD3A74">
        <w:rPr>
          <w:rFonts w:ascii="Times New Roman" w:eastAsia="Times New Roman" w:hAnsi="Times New Roman" w:cs="Times New Roman"/>
          <w:sz w:val="24"/>
          <w:szCs w:val="24"/>
        </w:rPr>
        <w:t xml:space="preserve"> Gusmão apresenta o maior valor acumulado no mandato (79,84%). </w:t>
      </w:r>
    </w:p>
    <w:p w14:paraId="057F6E29" w14:textId="77777777" w:rsidR="00AD3A74" w:rsidRPr="00AD3A74" w:rsidRDefault="00AD3A74" w:rsidP="00AD3A74">
      <w:pPr>
        <w:spacing w:line="360" w:lineRule="auto"/>
        <w:jc w:val="both"/>
        <w:rPr>
          <w:rFonts w:ascii="Times New Roman" w:eastAsia="Times New Roman" w:hAnsi="Times New Roman" w:cs="Times New Roman"/>
          <w:sz w:val="24"/>
          <w:szCs w:val="24"/>
        </w:rPr>
      </w:pPr>
      <w:r w:rsidRPr="00AD3A74">
        <w:rPr>
          <w:rFonts w:ascii="Times New Roman" w:eastAsia="Times New Roman" w:hAnsi="Times New Roman" w:cs="Times New Roman"/>
          <w:sz w:val="24"/>
          <w:szCs w:val="24"/>
        </w:rPr>
        <w:tab/>
        <w:t>Quanto à análise dos ciclos políticos eleitorais influenciando a arrecadação do IPTU, a partir das tabelas 1 e 2 é possível observar possíveis comportamentos oportunistas, mas pouco se pode inferir sobre isto:</w:t>
      </w:r>
    </w:p>
    <w:p w14:paraId="04B1DDBC" w14:textId="77777777" w:rsidR="00AD3A74" w:rsidRPr="00AD3A74" w:rsidRDefault="00AD3A74" w:rsidP="00AD3A74">
      <w:pPr>
        <w:numPr>
          <w:ilvl w:val="0"/>
          <w:numId w:val="1"/>
        </w:numPr>
        <w:spacing w:line="360" w:lineRule="auto"/>
        <w:jc w:val="both"/>
        <w:rPr>
          <w:rFonts w:ascii="Times New Roman" w:eastAsia="Times New Roman" w:hAnsi="Times New Roman" w:cs="Times New Roman"/>
          <w:color w:val="000000"/>
          <w:sz w:val="24"/>
          <w:szCs w:val="24"/>
        </w:rPr>
      </w:pPr>
      <w:r w:rsidRPr="00AD3A74">
        <w:rPr>
          <w:rFonts w:ascii="Times New Roman" w:eastAsia="Times New Roman" w:hAnsi="Times New Roman" w:cs="Times New Roman"/>
          <w:color w:val="000000"/>
          <w:sz w:val="24"/>
          <w:szCs w:val="24"/>
        </w:rPr>
        <w:t>Em 2016, último ano do mandato de Guilherme Menezes (ano de eleições municipais), há uma pequena queda na taxa de aumento real do IPTU, antes em torno de 10,5%, no ano da eleição cai para 6,7%. Como os valores disponibilizados pelo STN/</w:t>
      </w:r>
      <w:proofErr w:type="spellStart"/>
      <w:r w:rsidRPr="00AD3A74">
        <w:rPr>
          <w:rFonts w:ascii="Times New Roman" w:eastAsia="Times New Roman" w:hAnsi="Times New Roman" w:cs="Times New Roman"/>
          <w:color w:val="000000"/>
          <w:sz w:val="24"/>
          <w:szCs w:val="24"/>
        </w:rPr>
        <w:t>Siconfi</w:t>
      </w:r>
      <w:proofErr w:type="spellEnd"/>
      <w:r w:rsidRPr="00AD3A74">
        <w:rPr>
          <w:rFonts w:ascii="Times New Roman" w:eastAsia="Times New Roman" w:hAnsi="Times New Roman" w:cs="Times New Roman"/>
          <w:color w:val="000000"/>
          <w:sz w:val="24"/>
          <w:szCs w:val="24"/>
        </w:rPr>
        <w:t xml:space="preserve"> são os valores arrecadados e não os valores referentes ao IPTU do exercício, não é possível afirmar que houve um comportamento oportunista. No entanto, mesmo sendo valores arrecadados (o que inclui juros, multas e pagamentos referentes à dívida ativa), demonstra uma redução no esforço fiscal </w:t>
      </w:r>
      <w:r w:rsidRPr="00AD3A74">
        <w:rPr>
          <w:rFonts w:ascii="Times New Roman" w:eastAsia="Times New Roman" w:hAnsi="Times New Roman" w:cs="Times New Roman"/>
          <w:sz w:val="24"/>
          <w:szCs w:val="24"/>
        </w:rPr>
        <w:t>neste</w:t>
      </w:r>
      <w:r w:rsidRPr="00AD3A74">
        <w:rPr>
          <w:rFonts w:ascii="Times New Roman" w:eastAsia="Times New Roman" w:hAnsi="Times New Roman" w:cs="Times New Roman"/>
          <w:color w:val="000000"/>
          <w:sz w:val="24"/>
          <w:szCs w:val="24"/>
        </w:rPr>
        <w:t xml:space="preserve"> ano, haja vista que cobrar o imposto devido (Dívida Ativa) também é função do incumbente. Apesar de Guilherme Menezes estar em seu segundo </w:t>
      </w:r>
      <w:r w:rsidRPr="00AD3A74">
        <w:rPr>
          <w:rFonts w:ascii="Times New Roman" w:eastAsia="Times New Roman" w:hAnsi="Times New Roman" w:cs="Times New Roman"/>
          <w:sz w:val="24"/>
          <w:szCs w:val="24"/>
        </w:rPr>
        <w:t>mandato</w:t>
      </w:r>
      <w:r w:rsidRPr="00AD3A74">
        <w:rPr>
          <w:rFonts w:ascii="Times New Roman" w:eastAsia="Times New Roman" w:hAnsi="Times New Roman" w:cs="Times New Roman"/>
          <w:color w:val="000000"/>
          <w:sz w:val="24"/>
          <w:szCs w:val="24"/>
        </w:rPr>
        <w:t xml:space="preserve"> entre 2013 e 2016, não foi candidato à reeleição, um menor esforço de arrecadação do IPTU poderia favorecer o candidato do seu grupo político (PT). No entanto, o PT perdeu a eleição para </w:t>
      </w:r>
      <w:proofErr w:type="spellStart"/>
      <w:r w:rsidRPr="00AD3A74">
        <w:rPr>
          <w:rFonts w:ascii="Times New Roman" w:eastAsia="Times New Roman" w:hAnsi="Times New Roman" w:cs="Times New Roman"/>
          <w:color w:val="000000"/>
          <w:sz w:val="24"/>
          <w:szCs w:val="24"/>
        </w:rPr>
        <w:t>Herzem</w:t>
      </w:r>
      <w:proofErr w:type="spellEnd"/>
      <w:r w:rsidRPr="00AD3A74">
        <w:rPr>
          <w:rFonts w:ascii="Times New Roman" w:eastAsia="Times New Roman" w:hAnsi="Times New Roman" w:cs="Times New Roman"/>
          <w:color w:val="000000"/>
          <w:sz w:val="24"/>
          <w:szCs w:val="24"/>
        </w:rPr>
        <w:t xml:space="preserve"> Gusmão (PMDB).</w:t>
      </w:r>
    </w:p>
    <w:p w14:paraId="369429AC" w14:textId="77777777" w:rsidR="00AD3A74" w:rsidRPr="00AD3A74" w:rsidRDefault="00AD3A74" w:rsidP="00AD3A74">
      <w:pPr>
        <w:numPr>
          <w:ilvl w:val="0"/>
          <w:numId w:val="1"/>
        </w:numPr>
        <w:spacing w:line="360" w:lineRule="auto"/>
        <w:jc w:val="both"/>
        <w:rPr>
          <w:rFonts w:ascii="Times New Roman" w:eastAsia="Times New Roman" w:hAnsi="Times New Roman" w:cs="Times New Roman"/>
          <w:color w:val="000000"/>
          <w:sz w:val="24"/>
          <w:szCs w:val="24"/>
        </w:rPr>
      </w:pPr>
      <w:r w:rsidRPr="00AD3A74">
        <w:rPr>
          <w:rFonts w:ascii="Times New Roman" w:eastAsia="Times New Roman" w:hAnsi="Times New Roman" w:cs="Times New Roman"/>
          <w:color w:val="000000"/>
          <w:sz w:val="24"/>
          <w:szCs w:val="24"/>
        </w:rPr>
        <w:t xml:space="preserve">Em 2017, primeiro ano do mandato de </w:t>
      </w:r>
      <w:proofErr w:type="spellStart"/>
      <w:r w:rsidRPr="00AD3A74">
        <w:rPr>
          <w:rFonts w:ascii="Times New Roman" w:eastAsia="Times New Roman" w:hAnsi="Times New Roman" w:cs="Times New Roman"/>
          <w:color w:val="000000"/>
          <w:sz w:val="24"/>
          <w:szCs w:val="24"/>
        </w:rPr>
        <w:t>Herzem</w:t>
      </w:r>
      <w:proofErr w:type="spellEnd"/>
      <w:r w:rsidRPr="00AD3A74">
        <w:rPr>
          <w:rFonts w:ascii="Times New Roman" w:eastAsia="Times New Roman" w:hAnsi="Times New Roman" w:cs="Times New Roman"/>
          <w:color w:val="000000"/>
          <w:sz w:val="24"/>
          <w:szCs w:val="24"/>
        </w:rPr>
        <w:t xml:space="preserve"> Gusmão, não houve aumento real na arrecadação do IPTU (-0,49%). Um resultado compreensível, haja vista que o IPTU é cobrado nos primeiros meses do ano e o novo grupo político estava em fase embrionária de organização. Já em 2018, segundo ano do mandato de </w:t>
      </w:r>
      <w:proofErr w:type="spellStart"/>
      <w:r w:rsidRPr="00AD3A74">
        <w:rPr>
          <w:rFonts w:ascii="Times New Roman" w:eastAsia="Times New Roman" w:hAnsi="Times New Roman" w:cs="Times New Roman"/>
          <w:color w:val="000000"/>
          <w:sz w:val="24"/>
          <w:szCs w:val="24"/>
        </w:rPr>
        <w:t>Herzem</w:t>
      </w:r>
      <w:proofErr w:type="spellEnd"/>
      <w:r w:rsidRPr="00AD3A74">
        <w:rPr>
          <w:rFonts w:ascii="Times New Roman" w:eastAsia="Times New Roman" w:hAnsi="Times New Roman" w:cs="Times New Roman"/>
          <w:color w:val="000000"/>
          <w:sz w:val="24"/>
          <w:szCs w:val="24"/>
        </w:rPr>
        <w:t xml:space="preserve">, com a equipe já organizada, o crescimento real da arrecadação foi de quase 65%, um aumento bastante elevado e condizente com a lógica dos ciclos políticos de cobrar mais impostos no início do mandato e reduzir o esforço de arrecadação em anos de eleição. Já em 2020, ano de </w:t>
      </w:r>
      <w:r w:rsidRPr="00AD3A74">
        <w:rPr>
          <w:rFonts w:ascii="Times New Roman" w:eastAsia="Times New Roman" w:hAnsi="Times New Roman" w:cs="Times New Roman"/>
          <w:color w:val="000000"/>
          <w:sz w:val="24"/>
          <w:szCs w:val="24"/>
        </w:rPr>
        <w:lastRenderedPageBreak/>
        <w:t>eleições municipais, há uma queda em termo nominais (-5,71%) e em termos reais (-9,61%). Apesar das evidências de um comportamento oportunista, é preciso ser cauteloso, tendo em vista a pandemia da Covid-19, mesmo considerando que a cobrança do IPTU se dá nos primeiros meses do ano e o decreto de calamidade pública se dá em 20 de março de 2020.</w:t>
      </w:r>
    </w:p>
    <w:p w14:paraId="6D0F840C" w14:textId="77777777" w:rsidR="00AD3A74" w:rsidRPr="00AD3A74" w:rsidRDefault="00AD3A74" w:rsidP="00AD3A74">
      <w:pPr>
        <w:numPr>
          <w:ilvl w:val="0"/>
          <w:numId w:val="1"/>
        </w:numPr>
        <w:spacing w:line="360" w:lineRule="auto"/>
        <w:jc w:val="both"/>
        <w:rPr>
          <w:rFonts w:ascii="Times New Roman" w:eastAsia="Times New Roman" w:hAnsi="Times New Roman" w:cs="Times New Roman"/>
          <w:color w:val="000000"/>
          <w:sz w:val="24"/>
          <w:szCs w:val="24"/>
        </w:rPr>
      </w:pPr>
      <w:r w:rsidRPr="00AD3A74">
        <w:rPr>
          <w:rFonts w:ascii="Times New Roman" w:eastAsia="Times New Roman" w:hAnsi="Times New Roman" w:cs="Times New Roman"/>
          <w:color w:val="000000"/>
          <w:sz w:val="24"/>
          <w:szCs w:val="24"/>
        </w:rPr>
        <w:t xml:space="preserve">No primeiro mandato de Sheila Lemos (tendo em vista que ela foi reeleita e está em um segundo mandato) a arrecadação do IPTU cresceu bastante no primeiro ano do mandato. Como ela integrava o mesmo grupo político – e dava continuidade </w:t>
      </w:r>
      <w:proofErr w:type="gramStart"/>
      <w:r w:rsidRPr="00AD3A74">
        <w:rPr>
          <w:rFonts w:ascii="Times New Roman" w:eastAsia="Times New Roman" w:hAnsi="Times New Roman" w:cs="Times New Roman"/>
          <w:color w:val="000000"/>
          <w:sz w:val="24"/>
          <w:szCs w:val="24"/>
        </w:rPr>
        <w:t>à</w:t>
      </w:r>
      <w:proofErr w:type="gramEnd"/>
      <w:r w:rsidRPr="00AD3A74">
        <w:rPr>
          <w:rFonts w:ascii="Times New Roman" w:eastAsia="Times New Roman" w:hAnsi="Times New Roman" w:cs="Times New Roman"/>
          <w:color w:val="000000"/>
          <w:sz w:val="24"/>
          <w:szCs w:val="24"/>
        </w:rPr>
        <w:t xml:space="preserve"> um segundo mandato de </w:t>
      </w:r>
      <w:proofErr w:type="spellStart"/>
      <w:r w:rsidRPr="00AD3A74">
        <w:rPr>
          <w:rFonts w:ascii="Times New Roman" w:eastAsia="Times New Roman" w:hAnsi="Times New Roman" w:cs="Times New Roman"/>
          <w:color w:val="000000"/>
          <w:sz w:val="24"/>
          <w:szCs w:val="24"/>
        </w:rPr>
        <w:t>Herzem</w:t>
      </w:r>
      <w:proofErr w:type="spellEnd"/>
      <w:r w:rsidRPr="00AD3A74">
        <w:rPr>
          <w:rFonts w:ascii="Times New Roman" w:eastAsia="Times New Roman" w:hAnsi="Times New Roman" w:cs="Times New Roman"/>
          <w:color w:val="000000"/>
          <w:sz w:val="24"/>
          <w:szCs w:val="24"/>
        </w:rPr>
        <w:t xml:space="preserve"> (que foi reeleito, mas faleceu no início do mandato) – o aumento de 45,59% está alinhado com a lógica dos ciclos políticos, aumentar a arrecadação em anos não eleitorais ou no primeiro pós-eleição. Essa lógica é reforçada no mandato de Sheila, tendo em vista que em 2024, ano de eleição (reeleição para a incumbente), a arrecadação cai 11,33% em termos nominais e 15,25% em termo reais. Fica claro que houve uma redução no esforço fiscal no ano da eleição. Até 2023, ano anterior à eleição, o mandato de Sheila Lemos acumulava um aumento de 79,51%, caindo a arrecadação per capita para 59,17% no ano da eleição, 2024.</w:t>
      </w:r>
    </w:p>
    <w:p w14:paraId="0749B507" w14:textId="77777777" w:rsidR="00AD3A74" w:rsidRPr="00AD3A74" w:rsidRDefault="00AD3A74" w:rsidP="00AD3A74">
      <w:pPr>
        <w:spacing w:line="360" w:lineRule="auto"/>
        <w:ind w:left="1080"/>
        <w:jc w:val="both"/>
        <w:rPr>
          <w:rFonts w:ascii="Times New Roman" w:eastAsia="Times New Roman" w:hAnsi="Times New Roman" w:cs="Times New Roman"/>
          <w:color w:val="000000"/>
        </w:rPr>
      </w:pPr>
    </w:p>
    <w:p w14:paraId="31B279FA" w14:textId="77777777" w:rsidR="00AD3A74" w:rsidRPr="00AD3A74" w:rsidRDefault="00AD3A74" w:rsidP="00AD3A74">
      <w:pPr>
        <w:spacing w:line="360" w:lineRule="auto"/>
        <w:ind w:left="360"/>
        <w:jc w:val="both"/>
        <w:rPr>
          <w:rFonts w:ascii="Times New Roman" w:eastAsia="Times New Roman" w:hAnsi="Times New Roman" w:cs="Times New Roman"/>
          <w:color w:val="000000"/>
        </w:rPr>
      </w:pPr>
      <w:r w:rsidRPr="00AD3A74">
        <w:rPr>
          <w:rFonts w:ascii="Times New Roman" w:eastAsia="Times New Roman" w:hAnsi="Times New Roman" w:cs="Times New Roman"/>
          <w:color w:val="000000"/>
        </w:rPr>
        <w:t>TABELA 3 – Valores totais (R$) arrecadados, variações e totais por mandato.</w:t>
      </w:r>
    </w:p>
    <w:tbl>
      <w:tblPr>
        <w:tblW w:w="9498" w:type="dxa"/>
        <w:tblCellMar>
          <w:left w:w="70" w:type="dxa"/>
          <w:right w:w="70" w:type="dxa"/>
        </w:tblCellMar>
        <w:tblLook w:val="04A0" w:firstRow="1" w:lastRow="0" w:firstColumn="1" w:lastColumn="0" w:noHBand="0" w:noVBand="1"/>
      </w:tblPr>
      <w:tblGrid>
        <w:gridCol w:w="1418"/>
        <w:gridCol w:w="1417"/>
        <w:gridCol w:w="1985"/>
        <w:gridCol w:w="1417"/>
        <w:gridCol w:w="2126"/>
        <w:gridCol w:w="1135"/>
      </w:tblGrid>
      <w:tr w:rsidR="00AD3A74" w:rsidRPr="00AD3A74" w14:paraId="0194CB7B" w14:textId="77777777" w:rsidTr="00226FE5">
        <w:trPr>
          <w:trHeight w:val="300"/>
        </w:trPr>
        <w:tc>
          <w:tcPr>
            <w:tcW w:w="1418" w:type="dxa"/>
            <w:tcBorders>
              <w:top w:val="single" w:sz="4" w:space="0" w:color="auto"/>
              <w:left w:val="nil"/>
              <w:bottom w:val="single" w:sz="4" w:space="0" w:color="auto"/>
              <w:right w:val="single" w:sz="4" w:space="0" w:color="auto"/>
            </w:tcBorders>
            <w:shd w:val="clear" w:color="000000" w:fill="BFBFBF"/>
            <w:noWrap/>
            <w:vAlign w:val="bottom"/>
          </w:tcPr>
          <w:p w14:paraId="26FE3AA6" w14:textId="77777777" w:rsidR="00AD3A74" w:rsidRPr="00AD3A74" w:rsidRDefault="00AD3A74" w:rsidP="00671F58">
            <w:pPr>
              <w:spacing w:line="240" w:lineRule="auto"/>
              <w:jc w:val="center"/>
              <w:rPr>
                <w:rFonts w:eastAsia="Times New Roman"/>
                <w:color w:val="000000"/>
              </w:rPr>
            </w:pPr>
            <w:r w:rsidRPr="00AD3A74">
              <w:rPr>
                <w:rFonts w:eastAsia="Times New Roman"/>
                <w:color w:val="000000"/>
              </w:rPr>
              <w:t>ANO</w:t>
            </w:r>
          </w:p>
        </w:tc>
        <w:tc>
          <w:tcPr>
            <w:tcW w:w="1417" w:type="dxa"/>
            <w:tcBorders>
              <w:top w:val="single" w:sz="4" w:space="0" w:color="auto"/>
              <w:left w:val="nil"/>
              <w:bottom w:val="single" w:sz="4" w:space="0" w:color="auto"/>
              <w:right w:val="single" w:sz="4" w:space="0" w:color="auto"/>
            </w:tcBorders>
            <w:shd w:val="clear" w:color="000000" w:fill="BFBFBF"/>
            <w:noWrap/>
            <w:vAlign w:val="bottom"/>
          </w:tcPr>
          <w:p w14:paraId="021CA915" w14:textId="445C32E8" w:rsidR="00AD3A74" w:rsidRPr="00AD3A74" w:rsidRDefault="00AD3A74" w:rsidP="00671F58">
            <w:pPr>
              <w:spacing w:line="240" w:lineRule="auto"/>
              <w:jc w:val="center"/>
              <w:rPr>
                <w:rFonts w:eastAsia="Times New Roman"/>
                <w:color w:val="000000"/>
              </w:rPr>
            </w:pPr>
            <w:r w:rsidRPr="00AD3A74">
              <w:rPr>
                <w:rFonts w:eastAsia="Times New Roman"/>
                <w:color w:val="000000"/>
              </w:rPr>
              <w:t>P</w:t>
            </w:r>
            <w:r w:rsidR="00226FE5">
              <w:rPr>
                <w:rFonts w:eastAsia="Times New Roman"/>
                <w:color w:val="000000"/>
              </w:rPr>
              <w:t>opulação</w:t>
            </w:r>
          </w:p>
        </w:tc>
        <w:tc>
          <w:tcPr>
            <w:tcW w:w="1985" w:type="dxa"/>
            <w:tcBorders>
              <w:top w:val="single" w:sz="4" w:space="0" w:color="auto"/>
              <w:left w:val="nil"/>
              <w:bottom w:val="single" w:sz="4" w:space="0" w:color="auto"/>
              <w:right w:val="single" w:sz="4" w:space="0" w:color="auto"/>
            </w:tcBorders>
            <w:shd w:val="clear" w:color="000000" w:fill="BFBFBF"/>
            <w:noWrap/>
            <w:vAlign w:val="bottom"/>
          </w:tcPr>
          <w:p w14:paraId="208F35A4" w14:textId="77777777" w:rsidR="00AD3A74" w:rsidRPr="00AD3A74" w:rsidRDefault="00AD3A74" w:rsidP="00671F58">
            <w:pPr>
              <w:spacing w:line="240" w:lineRule="auto"/>
              <w:jc w:val="center"/>
              <w:rPr>
                <w:rFonts w:eastAsia="Times New Roman"/>
                <w:color w:val="000000"/>
              </w:rPr>
            </w:pPr>
            <w:r w:rsidRPr="00AD3A74">
              <w:rPr>
                <w:rFonts w:eastAsia="Times New Roman"/>
                <w:color w:val="000000"/>
              </w:rPr>
              <w:t>VALORES R$</w:t>
            </w:r>
          </w:p>
        </w:tc>
        <w:tc>
          <w:tcPr>
            <w:tcW w:w="1417" w:type="dxa"/>
            <w:tcBorders>
              <w:top w:val="single" w:sz="4" w:space="0" w:color="auto"/>
              <w:left w:val="nil"/>
              <w:bottom w:val="single" w:sz="4" w:space="0" w:color="auto"/>
              <w:right w:val="single" w:sz="4" w:space="0" w:color="auto"/>
            </w:tcBorders>
            <w:shd w:val="clear" w:color="000000" w:fill="BFBFBF"/>
            <w:noWrap/>
            <w:vAlign w:val="bottom"/>
          </w:tcPr>
          <w:p w14:paraId="31099219" w14:textId="77777777" w:rsidR="00AD3A74" w:rsidRPr="00AD3A74" w:rsidRDefault="00AD3A74" w:rsidP="00671F58">
            <w:pPr>
              <w:spacing w:line="240" w:lineRule="auto"/>
              <w:jc w:val="center"/>
              <w:rPr>
                <w:rFonts w:eastAsia="Times New Roman"/>
                <w:color w:val="000000"/>
              </w:rPr>
            </w:pPr>
            <w:r w:rsidRPr="00AD3A74">
              <w:rPr>
                <w:rFonts w:eastAsia="Times New Roman"/>
                <w:color w:val="000000"/>
              </w:rPr>
              <w:t>VAR</w:t>
            </w:r>
          </w:p>
        </w:tc>
        <w:tc>
          <w:tcPr>
            <w:tcW w:w="2126" w:type="dxa"/>
            <w:tcBorders>
              <w:top w:val="single" w:sz="4" w:space="0" w:color="auto"/>
              <w:left w:val="nil"/>
              <w:bottom w:val="single" w:sz="4" w:space="0" w:color="auto"/>
              <w:right w:val="single" w:sz="4" w:space="0" w:color="auto"/>
            </w:tcBorders>
            <w:shd w:val="clear" w:color="000000" w:fill="BFBFBF"/>
            <w:noWrap/>
            <w:vAlign w:val="bottom"/>
          </w:tcPr>
          <w:p w14:paraId="5736986E" w14:textId="77777777" w:rsidR="00AD3A74" w:rsidRPr="00AD3A74" w:rsidRDefault="00AD3A74" w:rsidP="00671F58">
            <w:pPr>
              <w:spacing w:line="240" w:lineRule="auto"/>
              <w:jc w:val="center"/>
              <w:rPr>
                <w:rFonts w:eastAsia="Times New Roman"/>
                <w:color w:val="000000"/>
              </w:rPr>
            </w:pPr>
            <w:r w:rsidRPr="00AD3A74">
              <w:rPr>
                <w:rFonts w:eastAsia="Times New Roman"/>
                <w:color w:val="000000"/>
              </w:rPr>
              <w:t>TOTAL MANDATO</w:t>
            </w:r>
          </w:p>
        </w:tc>
        <w:tc>
          <w:tcPr>
            <w:tcW w:w="1135" w:type="dxa"/>
            <w:tcBorders>
              <w:top w:val="single" w:sz="4" w:space="0" w:color="auto"/>
              <w:left w:val="nil"/>
              <w:bottom w:val="single" w:sz="4" w:space="0" w:color="auto"/>
              <w:right w:val="nil"/>
            </w:tcBorders>
            <w:shd w:val="clear" w:color="000000" w:fill="BFBFBF"/>
            <w:noWrap/>
            <w:vAlign w:val="bottom"/>
          </w:tcPr>
          <w:p w14:paraId="64829B83" w14:textId="77777777" w:rsidR="00AD3A74" w:rsidRPr="00AD3A74" w:rsidRDefault="00AD3A74" w:rsidP="00671F58">
            <w:pPr>
              <w:spacing w:line="240" w:lineRule="auto"/>
              <w:jc w:val="center"/>
              <w:rPr>
                <w:rFonts w:eastAsia="Times New Roman"/>
                <w:color w:val="000000"/>
              </w:rPr>
            </w:pPr>
            <w:r w:rsidRPr="00AD3A74">
              <w:rPr>
                <w:rFonts w:eastAsia="Times New Roman"/>
                <w:color w:val="000000"/>
              </w:rPr>
              <w:t>%</w:t>
            </w:r>
          </w:p>
        </w:tc>
      </w:tr>
      <w:tr w:rsidR="00AD3A74" w:rsidRPr="00AD3A74" w14:paraId="4B9BC6C1" w14:textId="77777777" w:rsidTr="00226FE5">
        <w:trPr>
          <w:trHeight w:val="300"/>
        </w:trPr>
        <w:tc>
          <w:tcPr>
            <w:tcW w:w="1418" w:type="dxa"/>
            <w:tcBorders>
              <w:top w:val="nil"/>
              <w:left w:val="nil"/>
              <w:bottom w:val="single" w:sz="4" w:space="0" w:color="auto"/>
              <w:right w:val="single" w:sz="4" w:space="0" w:color="auto"/>
            </w:tcBorders>
            <w:shd w:val="clear" w:color="000000" w:fill="F8CBAD"/>
            <w:noWrap/>
            <w:vAlign w:val="bottom"/>
          </w:tcPr>
          <w:p w14:paraId="444EEDD3"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2013</w:t>
            </w:r>
          </w:p>
        </w:tc>
        <w:tc>
          <w:tcPr>
            <w:tcW w:w="1417" w:type="dxa"/>
            <w:tcBorders>
              <w:top w:val="nil"/>
              <w:left w:val="nil"/>
              <w:bottom w:val="single" w:sz="4" w:space="0" w:color="auto"/>
              <w:right w:val="single" w:sz="4" w:space="0" w:color="auto"/>
            </w:tcBorders>
            <w:shd w:val="clear" w:color="000000" w:fill="F8CBAD"/>
            <w:noWrap/>
            <w:vAlign w:val="bottom"/>
          </w:tcPr>
          <w:p w14:paraId="23067DB7"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336.987</w:t>
            </w:r>
          </w:p>
        </w:tc>
        <w:tc>
          <w:tcPr>
            <w:tcW w:w="1985" w:type="dxa"/>
            <w:tcBorders>
              <w:top w:val="nil"/>
              <w:left w:val="nil"/>
              <w:bottom w:val="single" w:sz="4" w:space="0" w:color="auto"/>
              <w:right w:val="single" w:sz="4" w:space="0" w:color="auto"/>
            </w:tcBorders>
            <w:shd w:val="clear" w:color="000000" w:fill="F8CBAD"/>
            <w:noWrap/>
            <w:vAlign w:val="bottom"/>
          </w:tcPr>
          <w:p w14:paraId="4B118E0D"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10.916.734,99</w:t>
            </w:r>
          </w:p>
        </w:tc>
        <w:tc>
          <w:tcPr>
            <w:tcW w:w="1417" w:type="dxa"/>
            <w:tcBorders>
              <w:top w:val="nil"/>
              <w:left w:val="nil"/>
              <w:bottom w:val="single" w:sz="4" w:space="0" w:color="auto"/>
              <w:right w:val="single" w:sz="4" w:space="0" w:color="auto"/>
            </w:tcBorders>
            <w:shd w:val="clear" w:color="000000" w:fill="F8CBAD"/>
            <w:noWrap/>
            <w:vAlign w:val="bottom"/>
          </w:tcPr>
          <w:p w14:paraId="7B8367E1"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c>
          <w:tcPr>
            <w:tcW w:w="2126" w:type="dxa"/>
            <w:tcBorders>
              <w:top w:val="nil"/>
              <w:left w:val="nil"/>
              <w:bottom w:val="single" w:sz="4" w:space="0" w:color="auto"/>
              <w:right w:val="single" w:sz="4" w:space="0" w:color="auto"/>
            </w:tcBorders>
            <w:shd w:val="clear" w:color="000000" w:fill="F8CBAD"/>
            <w:noWrap/>
            <w:vAlign w:val="bottom"/>
          </w:tcPr>
          <w:p w14:paraId="7B3516CD"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c>
          <w:tcPr>
            <w:tcW w:w="1135" w:type="dxa"/>
            <w:tcBorders>
              <w:top w:val="nil"/>
              <w:left w:val="nil"/>
              <w:bottom w:val="single" w:sz="4" w:space="0" w:color="auto"/>
              <w:right w:val="nil"/>
            </w:tcBorders>
            <w:shd w:val="clear" w:color="000000" w:fill="F8CBAD"/>
            <w:noWrap/>
            <w:vAlign w:val="bottom"/>
          </w:tcPr>
          <w:p w14:paraId="3EB89E40"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r>
      <w:tr w:rsidR="00AD3A74" w:rsidRPr="00AD3A74" w14:paraId="743FAA0E" w14:textId="77777777" w:rsidTr="00226FE5">
        <w:trPr>
          <w:trHeight w:val="300"/>
        </w:trPr>
        <w:tc>
          <w:tcPr>
            <w:tcW w:w="1418" w:type="dxa"/>
            <w:tcBorders>
              <w:top w:val="nil"/>
              <w:left w:val="nil"/>
              <w:bottom w:val="single" w:sz="4" w:space="0" w:color="auto"/>
              <w:right w:val="single" w:sz="4" w:space="0" w:color="auto"/>
            </w:tcBorders>
            <w:shd w:val="clear" w:color="000000" w:fill="F8CBAD"/>
            <w:noWrap/>
            <w:vAlign w:val="bottom"/>
          </w:tcPr>
          <w:p w14:paraId="3224BB39"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2014</w:t>
            </w:r>
          </w:p>
        </w:tc>
        <w:tc>
          <w:tcPr>
            <w:tcW w:w="1417" w:type="dxa"/>
            <w:tcBorders>
              <w:top w:val="nil"/>
              <w:left w:val="nil"/>
              <w:bottom w:val="single" w:sz="4" w:space="0" w:color="auto"/>
              <w:right w:val="single" w:sz="4" w:space="0" w:color="auto"/>
            </w:tcBorders>
            <w:shd w:val="clear" w:color="000000" w:fill="F8CBAD"/>
            <w:noWrap/>
            <w:vAlign w:val="bottom"/>
          </w:tcPr>
          <w:p w14:paraId="462F3CC5"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340.199</w:t>
            </w:r>
          </w:p>
        </w:tc>
        <w:tc>
          <w:tcPr>
            <w:tcW w:w="1985" w:type="dxa"/>
            <w:tcBorders>
              <w:top w:val="nil"/>
              <w:left w:val="nil"/>
              <w:bottom w:val="single" w:sz="4" w:space="0" w:color="auto"/>
              <w:right w:val="single" w:sz="4" w:space="0" w:color="auto"/>
            </w:tcBorders>
            <w:shd w:val="clear" w:color="000000" w:fill="F8CBAD"/>
            <w:noWrap/>
            <w:vAlign w:val="bottom"/>
          </w:tcPr>
          <w:p w14:paraId="1D3B1AD9"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12.638.392,85</w:t>
            </w:r>
          </w:p>
        </w:tc>
        <w:tc>
          <w:tcPr>
            <w:tcW w:w="1417" w:type="dxa"/>
            <w:tcBorders>
              <w:top w:val="nil"/>
              <w:left w:val="nil"/>
              <w:bottom w:val="single" w:sz="4" w:space="0" w:color="auto"/>
              <w:right w:val="single" w:sz="4" w:space="0" w:color="auto"/>
            </w:tcBorders>
            <w:shd w:val="clear" w:color="000000" w:fill="F8CBAD"/>
            <w:noWrap/>
            <w:vAlign w:val="bottom"/>
          </w:tcPr>
          <w:p w14:paraId="7F81C308"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15,77</w:t>
            </w:r>
          </w:p>
        </w:tc>
        <w:tc>
          <w:tcPr>
            <w:tcW w:w="2126" w:type="dxa"/>
            <w:tcBorders>
              <w:top w:val="nil"/>
              <w:left w:val="nil"/>
              <w:bottom w:val="single" w:sz="4" w:space="0" w:color="auto"/>
              <w:right w:val="single" w:sz="4" w:space="0" w:color="auto"/>
            </w:tcBorders>
            <w:shd w:val="clear" w:color="000000" w:fill="F8CBAD"/>
            <w:noWrap/>
            <w:vAlign w:val="bottom"/>
          </w:tcPr>
          <w:p w14:paraId="3023FFB2"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c>
          <w:tcPr>
            <w:tcW w:w="1135" w:type="dxa"/>
            <w:tcBorders>
              <w:top w:val="nil"/>
              <w:left w:val="nil"/>
              <w:bottom w:val="single" w:sz="4" w:space="0" w:color="auto"/>
              <w:right w:val="nil"/>
            </w:tcBorders>
            <w:shd w:val="clear" w:color="000000" w:fill="F8CBAD"/>
            <w:noWrap/>
            <w:vAlign w:val="bottom"/>
          </w:tcPr>
          <w:p w14:paraId="701517D1"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r>
      <w:tr w:rsidR="00AD3A74" w:rsidRPr="00AD3A74" w14:paraId="0A6A0B60" w14:textId="77777777" w:rsidTr="00226FE5">
        <w:trPr>
          <w:trHeight w:val="300"/>
        </w:trPr>
        <w:tc>
          <w:tcPr>
            <w:tcW w:w="1418" w:type="dxa"/>
            <w:tcBorders>
              <w:top w:val="nil"/>
              <w:left w:val="nil"/>
              <w:bottom w:val="single" w:sz="4" w:space="0" w:color="auto"/>
              <w:right w:val="single" w:sz="4" w:space="0" w:color="auto"/>
            </w:tcBorders>
            <w:shd w:val="clear" w:color="000000" w:fill="F8CBAD"/>
            <w:noWrap/>
            <w:vAlign w:val="bottom"/>
          </w:tcPr>
          <w:p w14:paraId="496BC21D"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2015</w:t>
            </w:r>
          </w:p>
        </w:tc>
        <w:tc>
          <w:tcPr>
            <w:tcW w:w="1417" w:type="dxa"/>
            <w:tcBorders>
              <w:top w:val="nil"/>
              <w:left w:val="nil"/>
              <w:bottom w:val="single" w:sz="4" w:space="0" w:color="auto"/>
              <w:right w:val="single" w:sz="4" w:space="0" w:color="auto"/>
            </w:tcBorders>
            <w:shd w:val="clear" w:color="000000" w:fill="F8CBAD"/>
            <w:noWrap/>
            <w:vAlign w:val="bottom"/>
          </w:tcPr>
          <w:p w14:paraId="4602A315"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340.199</w:t>
            </w:r>
          </w:p>
        </w:tc>
        <w:tc>
          <w:tcPr>
            <w:tcW w:w="1985" w:type="dxa"/>
            <w:tcBorders>
              <w:top w:val="nil"/>
              <w:left w:val="nil"/>
              <w:bottom w:val="single" w:sz="4" w:space="0" w:color="auto"/>
              <w:right w:val="single" w:sz="4" w:space="0" w:color="auto"/>
            </w:tcBorders>
            <w:shd w:val="clear" w:color="000000" w:fill="F8CBAD"/>
            <w:noWrap/>
            <w:vAlign w:val="bottom"/>
          </w:tcPr>
          <w:p w14:paraId="6E374095"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14.904.118,19</w:t>
            </w:r>
          </w:p>
        </w:tc>
        <w:tc>
          <w:tcPr>
            <w:tcW w:w="1417" w:type="dxa"/>
            <w:tcBorders>
              <w:top w:val="nil"/>
              <w:left w:val="nil"/>
              <w:bottom w:val="single" w:sz="4" w:space="0" w:color="auto"/>
              <w:right w:val="single" w:sz="4" w:space="0" w:color="auto"/>
            </w:tcBorders>
            <w:shd w:val="clear" w:color="000000" w:fill="F8CBAD"/>
            <w:noWrap/>
            <w:vAlign w:val="bottom"/>
          </w:tcPr>
          <w:p w14:paraId="58B579CE"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17,93</w:t>
            </w:r>
          </w:p>
        </w:tc>
        <w:tc>
          <w:tcPr>
            <w:tcW w:w="2126" w:type="dxa"/>
            <w:tcBorders>
              <w:top w:val="nil"/>
              <w:left w:val="nil"/>
              <w:bottom w:val="single" w:sz="4" w:space="0" w:color="auto"/>
              <w:right w:val="single" w:sz="4" w:space="0" w:color="auto"/>
            </w:tcBorders>
            <w:shd w:val="clear" w:color="000000" w:fill="F8CBAD"/>
            <w:noWrap/>
            <w:vAlign w:val="bottom"/>
          </w:tcPr>
          <w:p w14:paraId="450EC068"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c>
          <w:tcPr>
            <w:tcW w:w="1135" w:type="dxa"/>
            <w:tcBorders>
              <w:top w:val="nil"/>
              <w:left w:val="nil"/>
              <w:bottom w:val="single" w:sz="4" w:space="0" w:color="auto"/>
              <w:right w:val="nil"/>
            </w:tcBorders>
            <w:shd w:val="clear" w:color="000000" w:fill="F8CBAD"/>
            <w:noWrap/>
            <w:vAlign w:val="bottom"/>
          </w:tcPr>
          <w:p w14:paraId="61F83730"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r>
      <w:tr w:rsidR="00AD3A74" w:rsidRPr="00AD3A74" w14:paraId="5F3C8900" w14:textId="77777777" w:rsidTr="00226FE5">
        <w:trPr>
          <w:trHeight w:val="300"/>
        </w:trPr>
        <w:tc>
          <w:tcPr>
            <w:tcW w:w="1418" w:type="dxa"/>
            <w:tcBorders>
              <w:top w:val="nil"/>
              <w:left w:val="nil"/>
              <w:bottom w:val="single" w:sz="4" w:space="0" w:color="auto"/>
              <w:right w:val="single" w:sz="4" w:space="0" w:color="auto"/>
            </w:tcBorders>
            <w:shd w:val="clear" w:color="000000" w:fill="F8CBAD"/>
            <w:noWrap/>
            <w:vAlign w:val="bottom"/>
          </w:tcPr>
          <w:p w14:paraId="21431AAC"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2016</w:t>
            </w:r>
          </w:p>
        </w:tc>
        <w:tc>
          <w:tcPr>
            <w:tcW w:w="1417" w:type="dxa"/>
            <w:tcBorders>
              <w:top w:val="nil"/>
              <w:left w:val="nil"/>
              <w:bottom w:val="single" w:sz="4" w:space="0" w:color="auto"/>
              <w:right w:val="single" w:sz="4" w:space="0" w:color="auto"/>
            </w:tcBorders>
            <w:shd w:val="clear" w:color="000000" w:fill="F8CBAD"/>
            <w:noWrap/>
            <w:vAlign w:val="bottom"/>
          </w:tcPr>
          <w:p w14:paraId="26630630"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346.069</w:t>
            </w:r>
          </w:p>
        </w:tc>
        <w:tc>
          <w:tcPr>
            <w:tcW w:w="1985" w:type="dxa"/>
            <w:tcBorders>
              <w:top w:val="nil"/>
              <w:left w:val="nil"/>
              <w:bottom w:val="single" w:sz="4" w:space="0" w:color="auto"/>
              <w:right w:val="single" w:sz="4" w:space="0" w:color="auto"/>
            </w:tcBorders>
            <w:shd w:val="clear" w:color="000000" w:fill="F8CBAD"/>
            <w:noWrap/>
            <w:vAlign w:val="bottom"/>
          </w:tcPr>
          <w:p w14:paraId="3FF120C6"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17.592.409,34</w:t>
            </w:r>
          </w:p>
        </w:tc>
        <w:tc>
          <w:tcPr>
            <w:tcW w:w="1417" w:type="dxa"/>
            <w:tcBorders>
              <w:top w:val="nil"/>
              <w:left w:val="nil"/>
              <w:bottom w:val="single" w:sz="4" w:space="0" w:color="auto"/>
              <w:right w:val="single" w:sz="4" w:space="0" w:color="auto"/>
            </w:tcBorders>
            <w:shd w:val="clear" w:color="000000" w:fill="F8CBAD"/>
            <w:noWrap/>
            <w:vAlign w:val="bottom"/>
          </w:tcPr>
          <w:p w14:paraId="208334C2"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18,04</w:t>
            </w:r>
          </w:p>
        </w:tc>
        <w:tc>
          <w:tcPr>
            <w:tcW w:w="2126" w:type="dxa"/>
            <w:tcBorders>
              <w:top w:val="nil"/>
              <w:left w:val="nil"/>
              <w:bottom w:val="single" w:sz="4" w:space="0" w:color="auto"/>
              <w:right w:val="single" w:sz="4" w:space="0" w:color="auto"/>
            </w:tcBorders>
            <w:shd w:val="clear" w:color="000000" w:fill="F8CBAD"/>
            <w:noWrap/>
            <w:vAlign w:val="bottom"/>
          </w:tcPr>
          <w:p w14:paraId="648BAE5F"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56.051.655,37</w:t>
            </w:r>
          </w:p>
        </w:tc>
        <w:tc>
          <w:tcPr>
            <w:tcW w:w="1135" w:type="dxa"/>
            <w:tcBorders>
              <w:top w:val="nil"/>
              <w:left w:val="nil"/>
              <w:bottom w:val="single" w:sz="4" w:space="0" w:color="auto"/>
              <w:right w:val="nil"/>
            </w:tcBorders>
            <w:shd w:val="clear" w:color="000000" w:fill="F8CBAD"/>
            <w:noWrap/>
            <w:vAlign w:val="bottom"/>
          </w:tcPr>
          <w:p w14:paraId="5DAD5FAE"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14,90</w:t>
            </w:r>
          </w:p>
        </w:tc>
      </w:tr>
      <w:tr w:rsidR="00AD3A74" w:rsidRPr="00AD3A74" w14:paraId="0F5D50DE" w14:textId="77777777" w:rsidTr="00226FE5">
        <w:trPr>
          <w:trHeight w:val="300"/>
        </w:trPr>
        <w:tc>
          <w:tcPr>
            <w:tcW w:w="1418" w:type="dxa"/>
            <w:tcBorders>
              <w:top w:val="nil"/>
              <w:left w:val="nil"/>
              <w:bottom w:val="single" w:sz="4" w:space="0" w:color="auto"/>
              <w:right w:val="single" w:sz="4" w:space="0" w:color="auto"/>
            </w:tcBorders>
            <w:shd w:val="clear" w:color="000000" w:fill="FFC000"/>
            <w:noWrap/>
            <w:vAlign w:val="bottom"/>
          </w:tcPr>
          <w:p w14:paraId="3060A955"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2017</w:t>
            </w:r>
          </w:p>
        </w:tc>
        <w:tc>
          <w:tcPr>
            <w:tcW w:w="1417" w:type="dxa"/>
            <w:tcBorders>
              <w:top w:val="nil"/>
              <w:left w:val="nil"/>
              <w:bottom w:val="single" w:sz="4" w:space="0" w:color="auto"/>
              <w:right w:val="single" w:sz="4" w:space="0" w:color="auto"/>
            </w:tcBorders>
            <w:shd w:val="clear" w:color="000000" w:fill="FFC000"/>
            <w:noWrap/>
            <w:vAlign w:val="bottom"/>
          </w:tcPr>
          <w:p w14:paraId="074CDDAD"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348.718</w:t>
            </w:r>
          </w:p>
        </w:tc>
        <w:tc>
          <w:tcPr>
            <w:tcW w:w="1985" w:type="dxa"/>
            <w:tcBorders>
              <w:top w:val="nil"/>
              <w:left w:val="nil"/>
              <w:bottom w:val="single" w:sz="4" w:space="0" w:color="auto"/>
              <w:right w:val="single" w:sz="4" w:space="0" w:color="auto"/>
            </w:tcBorders>
            <w:shd w:val="clear" w:color="000000" w:fill="FFC000"/>
            <w:noWrap/>
            <w:vAlign w:val="bottom"/>
          </w:tcPr>
          <w:p w14:paraId="2AE0E760"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18.905.618,27</w:t>
            </w:r>
          </w:p>
        </w:tc>
        <w:tc>
          <w:tcPr>
            <w:tcW w:w="1417" w:type="dxa"/>
            <w:tcBorders>
              <w:top w:val="nil"/>
              <w:left w:val="nil"/>
              <w:bottom w:val="single" w:sz="4" w:space="0" w:color="auto"/>
              <w:right w:val="single" w:sz="4" w:space="0" w:color="auto"/>
            </w:tcBorders>
            <w:shd w:val="clear" w:color="000000" w:fill="FFC000"/>
            <w:noWrap/>
            <w:vAlign w:val="bottom"/>
          </w:tcPr>
          <w:p w14:paraId="11192A31"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7,46</w:t>
            </w:r>
          </w:p>
        </w:tc>
        <w:tc>
          <w:tcPr>
            <w:tcW w:w="2126" w:type="dxa"/>
            <w:tcBorders>
              <w:top w:val="nil"/>
              <w:left w:val="nil"/>
              <w:bottom w:val="single" w:sz="4" w:space="0" w:color="auto"/>
              <w:right w:val="single" w:sz="4" w:space="0" w:color="auto"/>
            </w:tcBorders>
            <w:shd w:val="clear" w:color="000000" w:fill="FFC000"/>
            <w:noWrap/>
            <w:vAlign w:val="bottom"/>
          </w:tcPr>
          <w:p w14:paraId="0D7444E3"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c>
          <w:tcPr>
            <w:tcW w:w="1135" w:type="dxa"/>
            <w:tcBorders>
              <w:top w:val="nil"/>
              <w:left w:val="nil"/>
              <w:bottom w:val="single" w:sz="4" w:space="0" w:color="auto"/>
              <w:right w:val="nil"/>
            </w:tcBorders>
            <w:shd w:val="clear" w:color="000000" w:fill="FFC000"/>
            <w:noWrap/>
            <w:vAlign w:val="bottom"/>
          </w:tcPr>
          <w:p w14:paraId="40837CF3"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r>
      <w:tr w:rsidR="00AD3A74" w:rsidRPr="00AD3A74" w14:paraId="3A866381" w14:textId="77777777" w:rsidTr="00226FE5">
        <w:trPr>
          <w:trHeight w:val="300"/>
        </w:trPr>
        <w:tc>
          <w:tcPr>
            <w:tcW w:w="1418" w:type="dxa"/>
            <w:tcBorders>
              <w:top w:val="nil"/>
              <w:left w:val="nil"/>
              <w:bottom w:val="single" w:sz="4" w:space="0" w:color="auto"/>
              <w:right w:val="single" w:sz="4" w:space="0" w:color="auto"/>
            </w:tcBorders>
            <w:shd w:val="clear" w:color="000000" w:fill="FFC000"/>
            <w:noWrap/>
            <w:vAlign w:val="bottom"/>
          </w:tcPr>
          <w:p w14:paraId="09F41F48"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2018</w:t>
            </w:r>
          </w:p>
        </w:tc>
        <w:tc>
          <w:tcPr>
            <w:tcW w:w="1417" w:type="dxa"/>
            <w:tcBorders>
              <w:top w:val="nil"/>
              <w:left w:val="nil"/>
              <w:bottom w:val="single" w:sz="4" w:space="0" w:color="auto"/>
              <w:right w:val="single" w:sz="4" w:space="0" w:color="auto"/>
            </w:tcBorders>
            <w:shd w:val="clear" w:color="000000" w:fill="FFC000"/>
            <w:noWrap/>
            <w:vAlign w:val="bottom"/>
          </w:tcPr>
          <w:p w14:paraId="7560BD55"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338.885</w:t>
            </w:r>
          </w:p>
        </w:tc>
        <w:tc>
          <w:tcPr>
            <w:tcW w:w="1985" w:type="dxa"/>
            <w:tcBorders>
              <w:top w:val="nil"/>
              <w:left w:val="nil"/>
              <w:bottom w:val="single" w:sz="4" w:space="0" w:color="auto"/>
              <w:right w:val="single" w:sz="4" w:space="0" w:color="auto"/>
            </w:tcBorders>
            <w:shd w:val="clear" w:color="000000" w:fill="FFC000"/>
            <w:noWrap/>
            <w:vAlign w:val="bottom"/>
          </w:tcPr>
          <w:p w14:paraId="1B4C5E37"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31.834.887,31</w:t>
            </w:r>
          </w:p>
        </w:tc>
        <w:tc>
          <w:tcPr>
            <w:tcW w:w="1417" w:type="dxa"/>
            <w:tcBorders>
              <w:top w:val="nil"/>
              <w:left w:val="nil"/>
              <w:bottom w:val="single" w:sz="4" w:space="0" w:color="auto"/>
              <w:right w:val="single" w:sz="4" w:space="0" w:color="auto"/>
            </w:tcBorders>
            <w:shd w:val="clear" w:color="000000" w:fill="FFC000"/>
            <w:noWrap/>
            <w:vAlign w:val="bottom"/>
          </w:tcPr>
          <w:p w14:paraId="5BC73307"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68,39</w:t>
            </w:r>
          </w:p>
        </w:tc>
        <w:tc>
          <w:tcPr>
            <w:tcW w:w="2126" w:type="dxa"/>
            <w:tcBorders>
              <w:top w:val="nil"/>
              <w:left w:val="nil"/>
              <w:bottom w:val="single" w:sz="4" w:space="0" w:color="auto"/>
              <w:right w:val="single" w:sz="4" w:space="0" w:color="auto"/>
            </w:tcBorders>
            <w:shd w:val="clear" w:color="000000" w:fill="FFC000"/>
            <w:noWrap/>
            <w:vAlign w:val="bottom"/>
          </w:tcPr>
          <w:p w14:paraId="03FD8596"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c>
          <w:tcPr>
            <w:tcW w:w="1135" w:type="dxa"/>
            <w:tcBorders>
              <w:top w:val="nil"/>
              <w:left w:val="nil"/>
              <w:bottom w:val="single" w:sz="4" w:space="0" w:color="auto"/>
              <w:right w:val="nil"/>
            </w:tcBorders>
            <w:shd w:val="clear" w:color="000000" w:fill="FFC000"/>
            <w:noWrap/>
            <w:vAlign w:val="bottom"/>
          </w:tcPr>
          <w:p w14:paraId="2FFA9081"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r>
      <w:tr w:rsidR="00AD3A74" w:rsidRPr="00AD3A74" w14:paraId="66D7EB3C" w14:textId="77777777" w:rsidTr="00226FE5">
        <w:trPr>
          <w:trHeight w:val="300"/>
        </w:trPr>
        <w:tc>
          <w:tcPr>
            <w:tcW w:w="1418" w:type="dxa"/>
            <w:tcBorders>
              <w:top w:val="nil"/>
              <w:left w:val="nil"/>
              <w:bottom w:val="single" w:sz="4" w:space="0" w:color="auto"/>
              <w:right w:val="single" w:sz="4" w:space="0" w:color="auto"/>
            </w:tcBorders>
            <w:shd w:val="clear" w:color="000000" w:fill="FFC000"/>
            <w:noWrap/>
            <w:vAlign w:val="bottom"/>
          </w:tcPr>
          <w:p w14:paraId="50A42002"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2019</w:t>
            </w:r>
          </w:p>
        </w:tc>
        <w:tc>
          <w:tcPr>
            <w:tcW w:w="1417" w:type="dxa"/>
            <w:tcBorders>
              <w:top w:val="nil"/>
              <w:left w:val="nil"/>
              <w:bottom w:val="single" w:sz="4" w:space="0" w:color="auto"/>
              <w:right w:val="single" w:sz="4" w:space="0" w:color="auto"/>
            </w:tcBorders>
            <w:shd w:val="clear" w:color="000000" w:fill="FFC000"/>
            <w:noWrap/>
            <w:vAlign w:val="bottom"/>
          </w:tcPr>
          <w:p w14:paraId="436CC5E4"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338.885</w:t>
            </w:r>
          </w:p>
        </w:tc>
        <w:tc>
          <w:tcPr>
            <w:tcW w:w="1985" w:type="dxa"/>
            <w:tcBorders>
              <w:top w:val="nil"/>
              <w:left w:val="nil"/>
              <w:bottom w:val="single" w:sz="4" w:space="0" w:color="auto"/>
              <w:right w:val="single" w:sz="4" w:space="0" w:color="auto"/>
            </w:tcBorders>
            <w:shd w:val="clear" w:color="000000" w:fill="FFC000"/>
            <w:noWrap/>
            <w:vAlign w:val="bottom"/>
          </w:tcPr>
          <w:p w14:paraId="3EF09B83"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33.129.397,60</w:t>
            </w:r>
          </w:p>
        </w:tc>
        <w:tc>
          <w:tcPr>
            <w:tcW w:w="1417" w:type="dxa"/>
            <w:tcBorders>
              <w:top w:val="nil"/>
              <w:left w:val="nil"/>
              <w:bottom w:val="single" w:sz="4" w:space="0" w:color="auto"/>
              <w:right w:val="single" w:sz="4" w:space="0" w:color="auto"/>
            </w:tcBorders>
            <w:shd w:val="clear" w:color="000000" w:fill="FFC000"/>
            <w:noWrap/>
            <w:vAlign w:val="bottom"/>
          </w:tcPr>
          <w:p w14:paraId="2F8AC8B5"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4,07</w:t>
            </w:r>
          </w:p>
        </w:tc>
        <w:tc>
          <w:tcPr>
            <w:tcW w:w="2126" w:type="dxa"/>
            <w:tcBorders>
              <w:top w:val="nil"/>
              <w:left w:val="nil"/>
              <w:bottom w:val="single" w:sz="4" w:space="0" w:color="auto"/>
              <w:right w:val="single" w:sz="4" w:space="0" w:color="auto"/>
            </w:tcBorders>
            <w:shd w:val="clear" w:color="000000" w:fill="FFC000"/>
            <w:noWrap/>
            <w:vAlign w:val="bottom"/>
          </w:tcPr>
          <w:p w14:paraId="7A42929B"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c>
          <w:tcPr>
            <w:tcW w:w="1135" w:type="dxa"/>
            <w:tcBorders>
              <w:top w:val="nil"/>
              <w:left w:val="nil"/>
              <w:bottom w:val="single" w:sz="4" w:space="0" w:color="auto"/>
              <w:right w:val="nil"/>
            </w:tcBorders>
            <w:shd w:val="clear" w:color="000000" w:fill="FFC000"/>
            <w:noWrap/>
            <w:vAlign w:val="bottom"/>
          </w:tcPr>
          <w:p w14:paraId="66FF2FC1"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r>
      <w:tr w:rsidR="00AD3A74" w:rsidRPr="00AD3A74" w14:paraId="7E8916A8" w14:textId="77777777" w:rsidTr="00226FE5">
        <w:trPr>
          <w:trHeight w:val="300"/>
        </w:trPr>
        <w:tc>
          <w:tcPr>
            <w:tcW w:w="1418" w:type="dxa"/>
            <w:tcBorders>
              <w:top w:val="nil"/>
              <w:left w:val="nil"/>
              <w:bottom w:val="single" w:sz="4" w:space="0" w:color="auto"/>
              <w:right w:val="single" w:sz="4" w:space="0" w:color="auto"/>
            </w:tcBorders>
            <w:shd w:val="clear" w:color="000000" w:fill="FFC000"/>
            <w:noWrap/>
            <w:vAlign w:val="bottom"/>
          </w:tcPr>
          <w:p w14:paraId="04683AC3"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2020</w:t>
            </w:r>
          </w:p>
        </w:tc>
        <w:tc>
          <w:tcPr>
            <w:tcW w:w="1417" w:type="dxa"/>
            <w:tcBorders>
              <w:top w:val="nil"/>
              <w:left w:val="nil"/>
              <w:bottom w:val="single" w:sz="4" w:space="0" w:color="auto"/>
              <w:right w:val="single" w:sz="4" w:space="0" w:color="auto"/>
            </w:tcBorders>
            <w:shd w:val="clear" w:color="000000" w:fill="FFC000"/>
            <w:noWrap/>
            <w:vAlign w:val="bottom"/>
          </w:tcPr>
          <w:p w14:paraId="2DA2F5C6"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338.480</w:t>
            </w:r>
          </w:p>
        </w:tc>
        <w:tc>
          <w:tcPr>
            <w:tcW w:w="1985" w:type="dxa"/>
            <w:tcBorders>
              <w:top w:val="nil"/>
              <w:left w:val="nil"/>
              <w:bottom w:val="single" w:sz="4" w:space="0" w:color="auto"/>
              <w:right w:val="single" w:sz="4" w:space="0" w:color="auto"/>
            </w:tcBorders>
            <w:shd w:val="clear" w:color="000000" w:fill="FFC000"/>
            <w:noWrap/>
            <w:vAlign w:val="bottom"/>
          </w:tcPr>
          <w:p w14:paraId="5FBB89D7"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31.200.453,47</w:t>
            </w:r>
          </w:p>
        </w:tc>
        <w:tc>
          <w:tcPr>
            <w:tcW w:w="1417" w:type="dxa"/>
            <w:tcBorders>
              <w:top w:val="nil"/>
              <w:left w:val="nil"/>
              <w:bottom w:val="single" w:sz="4" w:space="0" w:color="auto"/>
              <w:right w:val="single" w:sz="4" w:space="0" w:color="auto"/>
            </w:tcBorders>
            <w:shd w:val="clear" w:color="000000" w:fill="FFC000"/>
            <w:noWrap/>
            <w:vAlign w:val="bottom"/>
          </w:tcPr>
          <w:p w14:paraId="38A3DFF0"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-5,82</w:t>
            </w:r>
          </w:p>
        </w:tc>
        <w:tc>
          <w:tcPr>
            <w:tcW w:w="2126" w:type="dxa"/>
            <w:tcBorders>
              <w:top w:val="nil"/>
              <w:left w:val="nil"/>
              <w:bottom w:val="single" w:sz="4" w:space="0" w:color="auto"/>
              <w:right w:val="single" w:sz="4" w:space="0" w:color="auto"/>
            </w:tcBorders>
            <w:shd w:val="clear" w:color="000000" w:fill="FFC000"/>
            <w:noWrap/>
            <w:vAlign w:val="bottom"/>
          </w:tcPr>
          <w:p w14:paraId="01D2C412"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115.070.356,65</w:t>
            </w:r>
          </w:p>
        </w:tc>
        <w:tc>
          <w:tcPr>
            <w:tcW w:w="1135" w:type="dxa"/>
            <w:tcBorders>
              <w:top w:val="nil"/>
              <w:left w:val="nil"/>
              <w:bottom w:val="single" w:sz="4" w:space="0" w:color="auto"/>
              <w:right w:val="nil"/>
            </w:tcBorders>
            <w:shd w:val="clear" w:color="000000" w:fill="FFC000"/>
            <w:noWrap/>
            <w:vAlign w:val="bottom"/>
          </w:tcPr>
          <w:p w14:paraId="0DB89DC4"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30,58</w:t>
            </w:r>
          </w:p>
        </w:tc>
      </w:tr>
      <w:tr w:rsidR="00AD3A74" w:rsidRPr="00AD3A74" w14:paraId="4BEFAF6E" w14:textId="77777777" w:rsidTr="00226FE5">
        <w:trPr>
          <w:trHeight w:val="300"/>
        </w:trPr>
        <w:tc>
          <w:tcPr>
            <w:tcW w:w="1418" w:type="dxa"/>
            <w:tcBorders>
              <w:top w:val="nil"/>
              <w:left w:val="nil"/>
              <w:bottom w:val="single" w:sz="4" w:space="0" w:color="auto"/>
              <w:right w:val="single" w:sz="4" w:space="0" w:color="auto"/>
            </w:tcBorders>
            <w:shd w:val="clear" w:color="000000" w:fill="BDD7EE"/>
            <w:noWrap/>
            <w:vAlign w:val="bottom"/>
          </w:tcPr>
          <w:p w14:paraId="6C37338C"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2021</w:t>
            </w:r>
          </w:p>
        </w:tc>
        <w:tc>
          <w:tcPr>
            <w:tcW w:w="1417" w:type="dxa"/>
            <w:tcBorders>
              <w:top w:val="nil"/>
              <w:left w:val="nil"/>
              <w:bottom w:val="single" w:sz="4" w:space="0" w:color="auto"/>
              <w:right w:val="single" w:sz="4" w:space="0" w:color="auto"/>
            </w:tcBorders>
            <w:shd w:val="clear" w:color="000000" w:fill="BDD7EE"/>
            <w:noWrap/>
            <w:vAlign w:val="bottom"/>
          </w:tcPr>
          <w:p w14:paraId="1CC18044"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370.879</w:t>
            </w:r>
          </w:p>
        </w:tc>
        <w:tc>
          <w:tcPr>
            <w:tcW w:w="1985" w:type="dxa"/>
            <w:tcBorders>
              <w:top w:val="nil"/>
              <w:left w:val="nil"/>
              <w:bottom w:val="single" w:sz="4" w:space="0" w:color="auto"/>
              <w:right w:val="single" w:sz="4" w:space="0" w:color="auto"/>
            </w:tcBorders>
            <w:shd w:val="clear" w:color="000000" w:fill="BDD7EE"/>
            <w:noWrap/>
            <w:vAlign w:val="bottom"/>
          </w:tcPr>
          <w:p w14:paraId="466274AA"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45.781.398,91</w:t>
            </w:r>
          </w:p>
        </w:tc>
        <w:tc>
          <w:tcPr>
            <w:tcW w:w="1417" w:type="dxa"/>
            <w:tcBorders>
              <w:top w:val="nil"/>
              <w:left w:val="nil"/>
              <w:bottom w:val="single" w:sz="4" w:space="0" w:color="auto"/>
              <w:right w:val="single" w:sz="4" w:space="0" w:color="auto"/>
            </w:tcBorders>
            <w:shd w:val="clear" w:color="000000" w:fill="BDD7EE"/>
            <w:noWrap/>
            <w:vAlign w:val="bottom"/>
          </w:tcPr>
          <w:p w14:paraId="4A226DEE"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46,73</w:t>
            </w:r>
          </w:p>
        </w:tc>
        <w:tc>
          <w:tcPr>
            <w:tcW w:w="2126" w:type="dxa"/>
            <w:tcBorders>
              <w:top w:val="nil"/>
              <w:left w:val="nil"/>
              <w:bottom w:val="single" w:sz="4" w:space="0" w:color="auto"/>
              <w:right w:val="single" w:sz="4" w:space="0" w:color="auto"/>
            </w:tcBorders>
            <w:shd w:val="clear" w:color="000000" w:fill="BDD7EE"/>
            <w:noWrap/>
            <w:vAlign w:val="bottom"/>
          </w:tcPr>
          <w:p w14:paraId="25E02AF0"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c>
          <w:tcPr>
            <w:tcW w:w="1135" w:type="dxa"/>
            <w:tcBorders>
              <w:top w:val="nil"/>
              <w:left w:val="nil"/>
              <w:bottom w:val="single" w:sz="4" w:space="0" w:color="auto"/>
              <w:right w:val="nil"/>
            </w:tcBorders>
            <w:shd w:val="clear" w:color="000000" w:fill="BDD7EE"/>
            <w:noWrap/>
            <w:vAlign w:val="bottom"/>
          </w:tcPr>
          <w:p w14:paraId="23DC0D1C"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r>
      <w:tr w:rsidR="00AD3A74" w:rsidRPr="00AD3A74" w14:paraId="0B8B23D8" w14:textId="77777777" w:rsidTr="00226FE5">
        <w:trPr>
          <w:trHeight w:val="300"/>
        </w:trPr>
        <w:tc>
          <w:tcPr>
            <w:tcW w:w="1418" w:type="dxa"/>
            <w:tcBorders>
              <w:top w:val="nil"/>
              <w:left w:val="nil"/>
              <w:bottom w:val="single" w:sz="4" w:space="0" w:color="auto"/>
              <w:right w:val="single" w:sz="4" w:space="0" w:color="auto"/>
            </w:tcBorders>
            <w:shd w:val="clear" w:color="000000" w:fill="BDD7EE"/>
            <w:noWrap/>
            <w:vAlign w:val="bottom"/>
          </w:tcPr>
          <w:p w14:paraId="4529FB02"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2022</w:t>
            </w:r>
          </w:p>
        </w:tc>
        <w:tc>
          <w:tcPr>
            <w:tcW w:w="1417" w:type="dxa"/>
            <w:tcBorders>
              <w:top w:val="nil"/>
              <w:left w:val="nil"/>
              <w:bottom w:val="single" w:sz="4" w:space="0" w:color="auto"/>
              <w:right w:val="single" w:sz="4" w:space="0" w:color="auto"/>
            </w:tcBorders>
            <w:shd w:val="clear" w:color="000000" w:fill="BDD7EE"/>
            <w:noWrap/>
            <w:vAlign w:val="bottom"/>
          </w:tcPr>
          <w:p w14:paraId="768F52B7"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370.868</w:t>
            </w:r>
          </w:p>
        </w:tc>
        <w:tc>
          <w:tcPr>
            <w:tcW w:w="1985" w:type="dxa"/>
            <w:tcBorders>
              <w:top w:val="nil"/>
              <w:left w:val="nil"/>
              <w:bottom w:val="single" w:sz="4" w:space="0" w:color="auto"/>
              <w:right w:val="single" w:sz="4" w:space="0" w:color="auto"/>
            </w:tcBorders>
            <w:shd w:val="clear" w:color="000000" w:fill="BDD7EE"/>
            <w:noWrap/>
            <w:vAlign w:val="bottom"/>
          </w:tcPr>
          <w:p w14:paraId="73653242"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45.618.608,25</w:t>
            </w:r>
          </w:p>
        </w:tc>
        <w:tc>
          <w:tcPr>
            <w:tcW w:w="1417" w:type="dxa"/>
            <w:tcBorders>
              <w:top w:val="nil"/>
              <w:left w:val="nil"/>
              <w:bottom w:val="single" w:sz="4" w:space="0" w:color="auto"/>
              <w:right w:val="single" w:sz="4" w:space="0" w:color="auto"/>
            </w:tcBorders>
            <w:shd w:val="clear" w:color="000000" w:fill="BDD7EE"/>
            <w:noWrap/>
            <w:vAlign w:val="bottom"/>
          </w:tcPr>
          <w:p w14:paraId="0C4610E1"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-0,36</w:t>
            </w:r>
          </w:p>
        </w:tc>
        <w:tc>
          <w:tcPr>
            <w:tcW w:w="2126" w:type="dxa"/>
            <w:tcBorders>
              <w:top w:val="nil"/>
              <w:left w:val="nil"/>
              <w:bottom w:val="single" w:sz="4" w:space="0" w:color="auto"/>
              <w:right w:val="single" w:sz="4" w:space="0" w:color="auto"/>
            </w:tcBorders>
            <w:shd w:val="clear" w:color="000000" w:fill="BDD7EE"/>
            <w:noWrap/>
            <w:vAlign w:val="bottom"/>
          </w:tcPr>
          <w:p w14:paraId="770247CD"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c>
          <w:tcPr>
            <w:tcW w:w="1135" w:type="dxa"/>
            <w:tcBorders>
              <w:top w:val="nil"/>
              <w:left w:val="nil"/>
              <w:bottom w:val="single" w:sz="4" w:space="0" w:color="auto"/>
              <w:right w:val="nil"/>
            </w:tcBorders>
            <w:shd w:val="clear" w:color="000000" w:fill="BDD7EE"/>
            <w:noWrap/>
            <w:vAlign w:val="bottom"/>
          </w:tcPr>
          <w:p w14:paraId="2D8968ED"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r>
      <w:tr w:rsidR="00AD3A74" w:rsidRPr="00AD3A74" w14:paraId="75F947C3" w14:textId="77777777" w:rsidTr="00226FE5">
        <w:trPr>
          <w:trHeight w:val="300"/>
        </w:trPr>
        <w:tc>
          <w:tcPr>
            <w:tcW w:w="1418" w:type="dxa"/>
            <w:tcBorders>
              <w:top w:val="nil"/>
              <w:left w:val="nil"/>
              <w:bottom w:val="single" w:sz="4" w:space="0" w:color="auto"/>
              <w:right w:val="single" w:sz="4" w:space="0" w:color="auto"/>
            </w:tcBorders>
            <w:shd w:val="clear" w:color="000000" w:fill="BDD7EE"/>
            <w:noWrap/>
            <w:vAlign w:val="bottom"/>
          </w:tcPr>
          <w:p w14:paraId="73EABD7A"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2023</w:t>
            </w:r>
          </w:p>
        </w:tc>
        <w:tc>
          <w:tcPr>
            <w:tcW w:w="1417" w:type="dxa"/>
            <w:tcBorders>
              <w:top w:val="nil"/>
              <w:left w:val="nil"/>
              <w:bottom w:val="single" w:sz="4" w:space="0" w:color="auto"/>
              <w:right w:val="single" w:sz="4" w:space="0" w:color="auto"/>
            </w:tcBorders>
            <w:shd w:val="clear" w:color="000000" w:fill="BDD7EE"/>
            <w:noWrap/>
            <w:vAlign w:val="bottom"/>
          </w:tcPr>
          <w:p w14:paraId="0F73F160"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370.879</w:t>
            </w:r>
          </w:p>
        </w:tc>
        <w:tc>
          <w:tcPr>
            <w:tcW w:w="1985" w:type="dxa"/>
            <w:tcBorders>
              <w:top w:val="nil"/>
              <w:left w:val="nil"/>
              <w:bottom w:val="single" w:sz="4" w:space="0" w:color="auto"/>
              <w:right w:val="single" w:sz="4" w:space="0" w:color="auto"/>
            </w:tcBorders>
            <w:shd w:val="clear" w:color="000000" w:fill="BDD7EE"/>
            <w:noWrap/>
            <w:vAlign w:val="bottom"/>
          </w:tcPr>
          <w:p w14:paraId="6DFFB3AF"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56.862.089,64</w:t>
            </w:r>
          </w:p>
        </w:tc>
        <w:tc>
          <w:tcPr>
            <w:tcW w:w="1417" w:type="dxa"/>
            <w:tcBorders>
              <w:top w:val="nil"/>
              <w:left w:val="nil"/>
              <w:bottom w:val="single" w:sz="4" w:space="0" w:color="auto"/>
              <w:right w:val="single" w:sz="4" w:space="0" w:color="auto"/>
            </w:tcBorders>
            <w:shd w:val="clear" w:color="000000" w:fill="BDD7EE"/>
            <w:noWrap/>
            <w:vAlign w:val="bottom"/>
          </w:tcPr>
          <w:p w14:paraId="059D292E"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24,65</w:t>
            </w:r>
          </w:p>
        </w:tc>
        <w:tc>
          <w:tcPr>
            <w:tcW w:w="2126" w:type="dxa"/>
            <w:tcBorders>
              <w:top w:val="nil"/>
              <w:left w:val="nil"/>
              <w:bottom w:val="single" w:sz="4" w:space="0" w:color="auto"/>
              <w:right w:val="single" w:sz="4" w:space="0" w:color="auto"/>
            </w:tcBorders>
            <w:shd w:val="clear" w:color="000000" w:fill="BDD7EE"/>
            <w:noWrap/>
            <w:vAlign w:val="bottom"/>
          </w:tcPr>
          <w:p w14:paraId="79416CB3"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c>
          <w:tcPr>
            <w:tcW w:w="1135" w:type="dxa"/>
            <w:tcBorders>
              <w:top w:val="nil"/>
              <w:left w:val="nil"/>
              <w:bottom w:val="single" w:sz="4" w:space="0" w:color="auto"/>
              <w:right w:val="nil"/>
            </w:tcBorders>
            <w:shd w:val="clear" w:color="000000" w:fill="BDD7EE"/>
            <w:noWrap/>
            <w:vAlign w:val="bottom"/>
          </w:tcPr>
          <w:p w14:paraId="5DF4088F"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r>
      <w:tr w:rsidR="00AD3A74" w:rsidRPr="00AD3A74" w14:paraId="1725F38E" w14:textId="77777777" w:rsidTr="00226FE5">
        <w:trPr>
          <w:trHeight w:val="300"/>
        </w:trPr>
        <w:tc>
          <w:tcPr>
            <w:tcW w:w="1418" w:type="dxa"/>
            <w:tcBorders>
              <w:top w:val="nil"/>
              <w:left w:val="nil"/>
              <w:bottom w:val="single" w:sz="4" w:space="0" w:color="auto"/>
              <w:right w:val="single" w:sz="4" w:space="0" w:color="auto"/>
            </w:tcBorders>
            <w:shd w:val="clear" w:color="000000" w:fill="BDD7EE"/>
            <w:noWrap/>
            <w:vAlign w:val="bottom"/>
          </w:tcPr>
          <w:p w14:paraId="774300AB"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2024</w:t>
            </w:r>
          </w:p>
        </w:tc>
        <w:tc>
          <w:tcPr>
            <w:tcW w:w="1417" w:type="dxa"/>
            <w:tcBorders>
              <w:top w:val="nil"/>
              <w:left w:val="nil"/>
              <w:bottom w:val="single" w:sz="4" w:space="0" w:color="auto"/>
              <w:right w:val="single" w:sz="4" w:space="0" w:color="auto"/>
            </w:tcBorders>
            <w:shd w:val="clear" w:color="000000" w:fill="BDD7EE"/>
            <w:noWrap/>
            <w:vAlign w:val="bottom"/>
          </w:tcPr>
          <w:p w14:paraId="607D91A3"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387.524</w:t>
            </w:r>
          </w:p>
        </w:tc>
        <w:tc>
          <w:tcPr>
            <w:tcW w:w="1985" w:type="dxa"/>
            <w:tcBorders>
              <w:top w:val="nil"/>
              <w:left w:val="nil"/>
              <w:bottom w:val="single" w:sz="4" w:space="0" w:color="auto"/>
              <w:right w:val="single" w:sz="4" w:space="0" w:color="auto"/>
            </w:tcBorders>
            <w:shd w:val="clear" w:color="000000" w:fill="BDD7EE"/>
            <w:noWrap/>
            <w:vAlign w:val="bottom"/>
          </w:tcPr>
          <w:p w14:paraId="4C48FB3F"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56.855.522,13</w:t>
            </w:r>
          </w:p>
        </w:tc>
        <w:tc>
          <w:tcPr>
            <w:tcW w:w="1417" w:type="dxa"/>
            <w:tcBorders>
              <w:top w:val="nil"/>
              <w:left w:val="nil"/>
              <w:bottom w:val="single" w:sz="4" w:space="0" w:color="auto"/>
              <w:right w:val="single" w:sz="4" w:space="0" w:color="auto"/>
            </w:tcBorders>
            <w:shd w:val="clear" w:color="000000" w:fill="BDD7EE"/>
            <w:noWrap/>
            <w:vAlign w:val="bottom"/>
          </w:tcPr>
          <w:p w14:paraId="26DB8258"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-0,01</w:t>
            </w:r>
          </w:p>
        </w:tc>
        <w:tc>
          <w:tcPr>
            <w:tcW w:w="2126" w:type="dxa"/>
            <w:tcBorders>
              <w:top w:val="nil"/>
              <w:left w:val="nil"/>
              <w:bottom w:val="single" w:sz="4" w:space="0" w:color="auto"/>
              <w:right w:val="single" w:sz="4" w:space="0" w:color="auto"/>
            </w:tcBorders>
            <w:shd w:val="clear" w:color="000000" w:fill="BDD7EE"/>
            <w:noWrap/>
            <w:vAlign w:val="bottom"/>
          </w:tcPr>
          <w:p w14:paraId="4E24375E"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205.117.618,93</w:t>
            </w:r>
          </w:p>
        </w:tc>
        <w:tc>
          <w:tcPr>
            <w:tcW w:w="1135" w:type="dxa"/>
            <w:tcBorders>
              <w:top w:val="nil"/>
              <w:left w:val="nil"/>
              <w:bottom w:val="single" w:sz="4" w:space="0" w:color="auto"/>
              <w:right w:val="nil"/>
            </w:tcBorders>
            <w:shd w:val="clear" w:color="000000" w:fill="BDD7EE"/>
            <w:noWrap/>
            <w:vAlign w:val="bottom"/>
          </w:tcPr>
          <w:p w14:paraId="5E6D0356"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54,52</w:t>
            </w:r>
          </w:p>
        </w:tc>
      </w:tr>
      <w:tr w:rsidR="00AD3A74" w:rsidRPr="00AD3A74" w14:paraId="20BBBB8D" w14:textId="77777777" w:rsidTr="00226FE5">
        <w:trPr>
          <w:trHeight w:val="300"/>
        </w:trPr>
        <w:tc>
          <w:tcPr>
            <w:tcW w:w="1418" w:type="dxa"/>
            <w:tcBorders>
              <w:top w:val="nil"/>
              <w:left w:val="nil"/>
              <w:bottom w:val="single" w:sz="4" w:space="0" w:color="auto"/>
              <w:right w:val="single" w:sz="4" w:space="0" w:color="auto"/>
            </w:tcBorders>
            <w:shd w:val="clear" w:color="000000" w:fill="A9D08E"/>
            <w:noWrap/>
            <w:vAlign w:val="bottom"/>
          </w:tcPr>
          <w:p w14:paraId="25FD44FC" w14:textId="77777777" w:rsidR="00AD3A74" w:rsidRPr="00AD3A74" w:rsidRDefault="00AD3A74" w:rsidP="00671F58">
            <w:pPr>
              <w:spacing w:line="240" w:lineRule="auto"/>
              <w:rPr>
                <w:rFonts w:eastAsia="Times New Roman"/>
                <w:color w:val="000000"/>
              </w:rPr>
            </w:pPr>
            <w:r w:rsidRPr="00AD3A74">
              <w:rPr>
                <w:rFonts w:eastAsia="Times New Roman"/>
                <w:color w:val="000000"/>
              </w:rPr>
              <w:t>TOTAL</w:t>
            </w:r>
          </w:p>
        </w:tc>
        <w:tc>
          <w:tcPr>
            <w:tcW w:w="1417" w:type="dxa"/>
            <w:tcBorders>
              <w:top w:val="nil"/>
              <w:left w:val="nil"/>
              <w:bottom w:val="single" w:sz="4" w:space="0" w:color="auto"/>
              <w:right w:val="single" w:sz="4" w:space="0" w:color="auto"/>
            </w:tcBorders>
            <w:shd w:val="clear" w:color="000000" w:fill="A9D08E"/>
            <w:noWrap/>
            <w:vAlign w:val="bottom"/>
          </w:tcPr>
          <w:p w14:paraId="004C4C72"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c>
          <w:tcPr>
            <w:tcW w:w="1985" w:type="dxa"/>
            <w:tcBorders>
              <w:top w:val="nil"/>
              <w:left w:val="nil"/>
              <w:bottom w:val="single" w:sz="4" w:space="0" w:color="auto"/>
              <w:right w:val="single" w:sz="4" w:space="0" w:color="auto"/>
            </w:tcBorders>
            <w:shd w:val="clear" w:color="000000" w:fill="A9D08E"/>
            <w:noWrap/>
            <w:vAlign w:val="bottom"/>
          </w:tcPr>
          <w:p w14:paraId="0A1D5D2D"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376.239.630,95</w:t>
            </w:r>
          </w:p>
        </w:tc>
        <w:tc>
          <w:tcPr>
            <w:tcW w:w="1417" w:type="dxa"/>
            <w:tcBorders>
              <w:top w:val="nil"/>
              <w:left w:val="nil"/>
              <w:bottom w:val="single" w:sz="4" w:space="0" w:color="auto"/>
              <w:right w:val="single" w:sz="4" w:space="0" w:color="auto"/>
            </w:tcBorders>
            <w:shd w:val="clear" w:color="000000" w:fill="A9D08E"/>
            <w:noWrap/>
            <w:vAlign w:val="bottom"/>
          </w:tcPr>
          <w:p w14:paraId="238C3DD3"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c>
          <w:tcPr>
            <w:tcW w:w="2126" w:type="dxa"/>
            <w:tcBorders>
              <w:top w:val="nil"/>
              <w:left w:val="nil"/>
              <w:bottom w:val="single" w:sz="4" w:space="0" w:color="auto"/>
              <w:right w:val="single" w:sz="4" w:space="0" w:color="auto"/>
            </w:tcBorders>
            <w:shd w:val="clear" w:color="000000" w:fill="A9D08E"/>
            <w:noWrap/>
            <w:vAlign w:val="bottom"/>
          </w:tcPr>
          <w:p w14:paraId="562C8B87"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376.239.630,95</w:t>
            </w:r>
          </w:p>
        </w:tc>
        <w:tc>
          <w:tcPr>
            <w:tcW w:w="1135" w:type="dxa"/>
            <w:tcBorders>
              <w:top w:val="nil"/>
              <w:left w:val="nil"/>
              <w:bottom w:val="single" w:sz="4" w:space="0" w:color="auto"/>
              <w:right w:val="nil"/>
            </w:tcBorders>
            <w:shd w:val="clear" w:color="000000" w:fill="A9D08E"/>
            <w:noWrap/>
            <w:vAlign w:val="bottom"/>
          </w:tcPr>
          <w:p w14:paraId="05F19A5E"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100,00</w:t>
            </w:r>
          </w:p>
        </w:tc>
      </w:tr>
      <w:tr w:rsidR="00AD3A74" w:rsidRPr="00AD3A74" w14:paraId="1D2D449C" w14:textId="77777777" w:rsidTr="00226FE5">
        <w:trPr>
          <w:trHeight w:val="300"/>
        </w:trPr>
        <w:tc>
          <w:tcPr>
            <w:tcW w:w="1418" w:type="dxa"/>
            <w:tcBorders>
              <w:top w:val="nil"/>
              <w:left w:val="nil"/>
              <w:bottom w:val="single" w:sz="4" w:space="0" w:color="auto"/>
              <w:right w:val="single" w:sz="4" w:space="0" w:color="auto"/>
            </w:tcBorders>
            <w:shd w:val="clear" w:color="000000" w:fill="A9D08E"/>
            <w:noWrap/>
            <w:vAlign w:val="bottom"/>
          </w:tcPr>
          <w:p w14:paraId="5D16DAED" w14:textId="77777777" w:rsidR="00AD3A74" w:rsidRPr="00AD3A74" w:rsidRDefault="00AD3A74" w:rsidP="00671F58">
            <w:pPr>
              <w:spacing w:line="240" w:lineRule="auto"/>
              <w:rPr>
                <w:rFonts w:eastAsia="Times New Roman"/>
                <w:color w:val="000000"/>
              </w:rPr>
            </w:pPr>
            <w:r w:rsidRPr="00AD3A74">
              <w:rPr>
                <w:rFonts w:eastAsia="Times New Roman"/>
                <w:color w:val="000000"/>
              </w:rPr>
              <w:t>2025* LOA</w:t>
            </w:r>
          </w:p>
        </w:tc>
        <w:tc>
          <w:tcPr>
            <w:tcW w:w="1417" w:type="dxa"/>
            <w:tcBorders>
              <w:top w:val="nil"/>
              <w:left w:val="nil"/>
              <w:bottom w:val="single" w:sz="4" w:space="0" w:color="auto"/>
              <w:right w:val="single" w:sz="4" w:space="0" w:color="auto"/>
            </w:tcBorders>
            <w:shd w:val="clear" w:color="000000" w:fill="A9D08E"/>
            <w:noWrap/>
            <w:vAlign w:val="bottom"/>
          </w:tcPr>
          <w:p w14:paraId="50D9939C"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c>
          <w:tcPr>
            <w:tcW w:w="1985" w:type="dxa"/>
            <w:tcBorders>
              <w:top w:val="nil"/>
              <w:left w:val="nil"/>
              <w:bottom w:val="single" w:sz="4" w:space="0" w:color="auto"/>
              <w:right w:val="single" w:sz="4" w:space="0" w:color="auto"/>
            </w:tcBorders>
            <w:shd w:val="clear" w:color="000000" w:fill="A9D08E"/>
            <w:noWrap/>
            <w:vAlign w:val="bottom"/>
          </w:tcPr>
          <w:p w14:paraId="46009586"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66.770.724,38</w:t>
            </w:r>
          </w:p>
        </w:tc>
        <w:tc>
          <w:tcPr>
            <w:tcW w:w="1417" w:type="dxa"/>
            <w:tcBorders>
              <w:top w:val="nil"/>
              <w:left w:val="nil"/>
              <w:bottom w:val="single" w:sz="4" w:space="0" w:color="auto"/>
              <w:right w:val="single" w:sz="4" w:space="0" w:color="auto"/>
            </w:tcBorders>
            <w:shd w:val="clear" w:color="000000" w:fill="A9D08E"/>
            <w:noWrap/>
            <w:vAlign w:val="bottom"/>
          </w:tcPr>
          <w:p w14:paraId="1F7504F5" w14:textId="77777777" w:rsidR="00AD3A74" w:rsidRPr="00AD3A74" w:rsidRDefault="00AD3A74" w:rsidP="00671F58">
            <w:pPr>
              <w:spacing w:line="240" w:lineRule="auto"/>
              <w:jc w:val="right"/>
              <w:rPr>
                <w:rFonts w:eastAsia="Times New Roman"/>
                <w:color w:val="000000"/>
              </w:rPr>
            </w:pPr>
            <w:r w:rsidRPr="00AD3A74">
              <w:rPr>
                <w:rFonts w:eastAsia="Times New Roman"/>
                <w:color w:val="000000"/>
              </w:rPr>
              <w:t>17,44</w:t>
            </w:r>
          </w:p>
        </w:tc>
        <w:tc>
          <w:tcPr>
            <w:tcW w:w="2126" w:type="dxa"/>
            <w:tcBorders>
              <w:top w:val="nil"/>
              <w:left w:val="nil"/>
              <w:bottom w:val="single" w:sz="4" w:space="0" w:color="auto"/>
              <w:right w:val="single" w:sz="4" w:space="0" w:color="auto"/>
            </w:tcBorders>
            <w:shd w:val="clear" w:color="000000" w:fill="A9D08E"/>
            <w:noWrap/>
            <w:vAlign w:val="bottom"/>
          </w:tcPr>
          <w:p w14:paraId="674BE539"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c>
          <w:tcPr>
            <w:tcW w:w="1135" w:type="dxa"/>
            <w:tcBorders>
              <w:top w:val="nil"/>
              <w:left w:val="nil"/>
              <w:bottom w:val="single" w:sz="4" w:space="0" w:color="auto"/>
              <w:right w:val="nil"/>
            </w:tcBorders>
            <w:shd w:val="clear" w:color="000000" w:fill="A9D08E"/>
            <w:noWrap/>
            <w:vAlign w:val="bottom"/>
          </w:tcPr>
          <w:p w14:paraId="65A59AB7" w14:textId="77777777" w:rsidR="00AD3A74" w:rsidRPr="00AD3A74" w:rsidRDefault="00AD3A74" w:rsidP="00671F58">
            <w:pPr>
              <w:spacing w:line="240" w:lineRule="auto"/>
              <w:rPr>
                <w:rFonts w:eastAsia="Times New Roman"/>
                <w:color w:val="000000"/>
              </w:rPr>
            </w:pPr>
            <w:r w:rsidRPr="00AD3A74">
              <w:rPr>
                <w:rFonts w:eastAsia="Times New Roman"/>
                <w:color w:val="000000"/>
              </w:rPr>
              <w:t> </w:t>
            </w:r>
          </w:p>
        </w:tc>
      </w:tr>
    </w:tbl>
    <w:p w14:paraId="6CADDE40" w14:textId="77777777" w:rsidR="00AD3A74" w:rsidRPr="00AD3A74" w:rsidRDefault="00AD3A74" w:rsidP="00AD3A74">
      <w:pPr>
        <w:spacing w:line="240" w:lineRule="auto"/>
        <w:jc w:val="both"/>
        <w:rPr>
          <w:rFonts w:ascii="Garamond" w:eastAsia="Garamond" w:hAnsi="Garamond" w:cs="Garamond"/>
          <w:sz w:val="20"/>
          <w:szCs w:val="20"/>
        </w:rPr>
      </w:pPr>
      <w:r w:rsidRPr="00AD3A74">
        <w:rPr>
          <w:rFonts w:ascii="Garamond" w:eastAsia="Garamond" w:hAnsi="Garamond" w:cs="Garamond"/>
          <w:sz w:val="20"/>
          <w:szCs w:val="20"/>
        </w:rPr>
        <w:t xml:space="preserve">Fonte: Elaboração própria, com base nos dados do </w:t>
      </w:r>
      <w:proofErr w:type="spellStart"/>
      <w:r w:rsidRPr="00AD3A74">
        <w:rPr>
          <w:rFonts w:ascii="Garamond" w:eastAsia="Garamond" w:hAnsi="Garamond" w:cs="Garamond"/>
          <w:sz w:val="20"/>
          <w:szCs w:val="20"/>
        </w:rPr>
        <w:t>Finbra</w:t>
      </w:r>
      <w:proofErr w:type="spellEnd"/>
      <w:r w:rsidRPr="00AD3A74">
        <w:rPr>
          <w:rFonts w:ascii="Garamond" w:eastAsia="Garamond" w:hAnsi="Garamond" w:cs="Garamond"/>
          <w:sz w:val="20"/>
          <w:szCs w:val="20"/>
        </w:rPr>
        <w:t>/</w:t>
      </w:r>
      <w:proofErr w:type="spellStart"/>
      <w:r w:rsidRPr="00AD3A74">
        <w:rPr>
          <w:rFonts w:ascii="Garamond" w:eastAsia="Garamond" w:hAnsi="Garamond" w:cs="Garamond"/>
          <w:sz w:val="20"/>
          <w:szCs w:val="20"/>
        </w:rPr>
        <w:t>Siconfi</w:t>
      </w:r>
      <w:proofErr w:type="spellEnd"/>
      <w:r w:rsidRPr="00AD3A74">
        <w:rPr>
          <w:rFonts w:ascii="Garamond" w:eastAsia="Garamond" w:hAnsi="Garamond" w:cs="Garamond"/>
          <w:sz w:val="20"/>
          <w:szCs w:val="20"/>
        </w:rPr>
        <w:t>/STN (2013-2024)</w:t>
      </w:r>
    </w:p>
    <w:p w14:paraId="65342553" w14:textId="77777777" w:rsidR="00AD3A74" w:rsidRPr="00AD3A74" w:rsidRDefault="00AD3A74" w:rsidP="00AD3A74">
      <w:pPr>
        <w:spacing w:line="360" w:lineRule="auto"/>
        <w:ind w:left="360"/>
        <w:jc w:val="both"/>
        <w:rPr>
          <w:rFonts w:ascii="Times New Roman" w:eastAsia="Times New Roman" w:hAnsi="Times New Roman" w:cs="Times New Roman"/>
          <w:color w:val="000000"/>
        </w:rPr>
      </w:pPr>
    </w:p>
    <w:p w14:paraId="1C88C688" w14:textId="77777777" w:rsidR="00AD3A74" w:rsidRPr="00AD3A74" w:rsidRDefault="00AD3A74" w:rsidP="00AD3A74">
      <w:pPr>
        <w:spacing w:line="360" w:lineRule="auto"/>
        <w:jc w:val="both"/>
        <w:rPr>
          <w:rFonts w:ascii="Times New Roman" w:eastAsia="Times New Roman" w:hAnsi="Times New Roman" w:cs="Times New Roman"/>
          <w:sz w:val="24"/>
          <w:szCs w:val="24"/>
        </w:rPr>
      </w:pPr>
      <w:r w:rsidRPr="00AD3A74">
        <w:rPr>
          <w:rFonts w:ascii="Times New Roman" w:eastAsia="Times New Roman" w:hAnsi="Times New Roman" w:cs="Times New Roman"/>
        </w:rPr>
        <w:tab/>
      </w:r>
      <w:r w:rsidRPr="00AD3A74">
        <w:rPr>
          <w:rFonts w:ascii="Times New Roman" w:eastAsia="Times New Roman" w:hAnsi="Times New Roman" w:cs="Times New Roman"/>
          <w:sz w:val="24"/>
          <w:szCs w:val="24"/>
        </w:rPr>
        <w:t xml:space="preserve">A Tabela 3 traz os valores totais arrecadados pelos prefeitos analisados nessa pesquisa. Considerando apenas os valores nominais, no período analisado a Prefeitura Municipal de vitória da Conquista arrecadou 376,2 milhões com a cobrança do IPTU. Mais da metade desse valor foi arrecadado no primeiro mandato da prefeita Sheila Lemos. A tabela acima traz o valor estimado para </w:t>
      </w:r>
      <w:r w:rsidRPr="00AD3A74">
        <w:rPr>
          <w:rFonts w:ascii="Times New Roman" w:eastAsia="Times New Roman" w:hAnsi="Times New Roman" w:cs="Times New Roman"/>
          <w:sz w:val="24"/>
          <w:szCs w:val="24"/>
        </w:rPr>
        <w:lastRenderedPageBreak/>
        <w:t xml:space="preserve">a arrecadação do IPTU constante na Lei Orçamentária Anual (LOA) aprovada pela Câmara Municipal (Lei Nº 2558, de 24 de dezembro de 2024), com previsão de um aumento de 17,44%. Ou seja, no ano seguinte à eleição municipal e após uma queda na arrecadação no ano eleitoral, há um aumento no esforço fiscal. Além dos valores constantes na LOA, a população teve acesso aos valores devidos do IPTU, que trouxe um aumento entre 20 e 35%. </w:t>
      </w:r>
    </w:p>
    <w:p w14:paraId="46352007" w14:textId="77777777" w:rsidR="00AD3A74" w:rsidRPr="00AD3A74" w:rsidRDefault="00AD3A74" w:rsidP="00AD3A74">
      <w:pPr>
        <w:spacing w:line="360" w:lineRule="auto"/>
        <w:ind w:firstLine="720"/>
        <w:jc w:val="both"/>
        <w:rPr>
          <w:rFonts w:ascii="Times New Roman" w:eastAsia="Times New Roman" w:hAnsi="Times New Roman" w:cs="Times New Roman"/>
          <w:sz w:val="24"/>
          <w:szCs w:val="24"/>
        </w:rPr>
      </w:pPr>
      <w:r w:rsidRPr="00AD3A74">
        <w:rPr>
          <w:rFonts w:ascii="Times New Roman" w:eastAsia="Times New Roman" w:hAnsi="Times New Roman" w:cs="Times New Roman"/>
          <w:sz w:val="24"/>
          <w:szCs w:val="24"/>
        </w:rPr>
        <w:t xml:space="preserve">Tendo em vista que o IPTU é um imposto direto, de custo político elevado, acaba sendo facilmente manipulado pelos responsáveis do executivo com o objetivo de reduzir o fardo político de sua cobrança e aumentar as vantagens eleitorais. A queda na arrecadação em 2024 – ano de eleição – e seu aumento considerável no ano seguinte à eleição é um indício de uso político desse imposto, que pode revelar um comportamento oportunista do grupo político. </w:t>
      </w:r>
    </w:p>
    <w:p w14:paraId="3A3191CA" w14:textId="77777777" w:rsidR="00AD3A74" w:rsidRPr="00AD3A74" w:rsidRDefault="00AD3A74" w:rsidP="00226FE5">
      <w:pPr>
        <w:spacing w:before="240" w:after="240" w:line="360" w:lineRule="auto"/>
        <w:jc w:val="both"/>
        <w:rPr>
          <w:rFonts w:ascii="Times New Roman" w:eastAsia="Times New Roman" w:hAnsi="Times New Roman" w:cs="Times New Roman"/>
          <w:bCs/>
        </w:rPr>
      </w:pPr>
      <w:r w:rsidRPr="00AD3A74">
        <w:rPr>
          <w:rFonts w:ascii="Times New Roman" w:eastAsia="Times New Roman" w:hAnsi="Times New Roman" w:cs="Times New Roman"/>
          <w:bCs/>
        </w:rPr>
        <w:t>CONCLUSÕES</w:t>
      </w:r>
    </w:p>
    <w:p w14:paraId="5571997C" w14:textId="77777777" w:rsidR="00AD3A74" w:rsidRPr="00AD3A74" w:rsidRDefault="00AD3A74" w:rsidP="00AD3A74">
      <w:pPr>
        <w:spacing w:line="360" w:lineRule="auto"/>
        <w:ind w:firstLine="720"/>
        <w:jc w:val="both"/>
        <w:rPr>
          <w:rFonts w:ascii="Times New Roman" w:eastAsia="SimSun" w:hAnsi="Times New Roman" w:cs="Times New Roman"/>
          <w:color w:val="000000"/>
          <w:sz w:val="24"/>
          <w:szCs w:val="24"/>
        </w:rPr>
      </w:pPr>
      <w:r w:rsidRPr="00AD3A74">
        <w:rPr>
          <w:rFonts w:ascii="Times New Roman" w:hAnsi="Times New Roman" w:cs="Times New Roman"/>
          <w:sz w:val="24"/>
          <w:szCs w:val="24"/>
        </w:rPr>
        <w:t xml:space="preserve">Este trabalho teve como </w:t>
      </w:r>
      <w:r w:rsidRPr="00AD3A74">
        <w:rPr>
          <w:rFonts w:ascii="Times New Roman" w:eastAsia="SimSun" w:hAnsi="Times New Roman" w:cs="Times New Roman"/>
          <w:color w:val="000000"/>
          <w:sz w:val="24"/>
          <w:szCs w:val="24"/>
        </w:rPr>
        <w:t xml:space="preserve">por </w:t>
      </w:r>
      <w:r w:rsidRPr="00AD3A74">
        <w:rPr>
          <w:rFonts w:ascii="Times New Roman" w:eastAsia="Times New Roman" w:hAnsi="Times New Roman" w:cs="Times New Roman"/>
          <w:color w:val="000000"/>
          <w:sz w:val="24"/>
          <w:szCs w:val="24"/>
        </w:rPr>
        <w:t xml:space="preserve">objetivo </w:t>
      </w:r>
      <w:r w:rsidRPr="00AD3A74">
        <w:rPr>
          <w:rFonts w:ascii="Times New Roman" w:eastAsia="Times New Roman" w:hAnsi="Times New Roman" w:cs="Times New Roman"/>
          <w:sz w:val="24"/>
          <w:szCs w:val="24"/>
        </w:rPr>
        <w:t xml:space="preserve">analisar o desempenho fiscal dos prefeitos de Vitória da Conquista, Guilherme Menezes, </w:t>
      </w:r>
      <w:proofErr w:type="spellStart"/>
      <w:r w:rsidRPr="00AD3A74">
        <w:rPr>
          <w:rFonts w:ascii="Times New Roman" w:eastAsia="Times New Roman" w:hAnsi="Times New Roman" w:cs="Times New Roman"/>
          <w:sz w:val="24"/>
          <w:szCs w:val="24"/>
        </w:rPr>
        <w:t>Hérzem</w:t>
      </w:r>
      <w:proofErr w:type="spellEnd"/>
      <w:r w:rsidRPr="00AD3A74">
        <w:rPr>
          <w:rFonts w:ascii="Times New Roman" w:eastAsia="Times New Roman" w:hAnsi="Times New Roman" w:cs="Times New Roman"/>
          <w:sz w:val="24"/>
          <w:szCs w:val="24"/>
        </w:rPr>
        <w:t xml:space="preserve"> Gusmão e Sheila Lemos, na arrecadação do </w:t>
      </w:r>
      <w:r w:rsidRPr="00AD3A74">
        <w:rPr>
          <w:rFonts w:ascii="Times New Roman" w:eastAsia="SimSun" w:hAnsi="Times New Roman" w:cs="Times New Roman"/>
          <w:color w:val="000000"/>
          <w:sz w:val="24"/>
          <w:szCs w:val="24"/>
        </w:rPr>
        <w:t>Imposto Predial e Territorial Urbano – IPTU</w:t>
      </w:r>
      <w:r w:rsidRPr="00AD3A74">
        <w:rPr>
          <w:rFonts w:ascii="Times New Roman" w:eastAsia="Times New Roman" w:hAnsi="Times New Roman" w:cs="Times New Roman"/>
          <w:sz w:val="24"/>
          <w:szCs w:val="24"/>
        </w:rPr>
        <w:t xml:space="preserve"> buscando identificar possíveis comportamentos oportunistas em anos eleitorais</w:t>
      </w:r>
      <w:r w:rsidRPr="00AD3A74">
        <w:rPr>
          <w:rFonts w:ascii="Times New Roman" w:eastAsia="SimSun" w:hAnsi="Times New Roman" w:cs="Times New Roman"/>
          <w:color w:val="000000"/>
          <w:sz w:val="24"/>
          <w:szCs w:val="24"/>
        </w:rPr>
        <w:t xml:space="preserve">. Ou seja, se a performance da arrecadação do IPTU desviou muito nos anos de 2016, 2020 e 2024 (anos de eleições municipais) dos demais anos dos mandatos. A </w:t>
      </w:r>
      <w:r w:rsidRPr="00AD3A74">
        <w:rPr>
          <w:rFonts w:ascii="Times New Roman" w:hAnsi="Times New Roman" w:cs="Times New Roman"/>
          <w:sz w:val="24"/>
          <w:szCs w:val="24"/>
        </w:rPr>
        <w:t xml:space="preserve">hipótese básica foi de </w:t>
      </w:r>
      <w:r w:rsidRPr="00AD3A74">
        <w:rPr>
          <w:rFonts w:ascii="Times New Roman" w:eastAsia="Times New Roman" w:hAnsi="Times New Roman" w:cs="Times New Roman"/>
          <w:sz w:val="24"/>
          <w:szCs w:val="24"/>
        </w:rPr>
        <w:t xml:space="preserve">que apesar das diferenças ideológicas e diferentes conjunturas (crescimento econômico e recessão) os prefeitos não apresentam diferenças no desempenho da arrecadação, se assemelhando no comportamento tributário. </w:t>
      </w:r>
      <w:r w:rsidRPr="00AD3A74">
        <w:rPr>
          <w:rFonts w:ascii="Times New Roman" w:eastAsia="SimSun" w:hAnsi="Times New Roman" w:cs="Times New Roman"/>
          <w:color w:val="000000"/>
          <w:sz w:val="24"/>
          <w:szCs w:val="24"/>
        </w:rPr>
        <w:t xml:space="preserve">  </w:t>
      </w:r>
    </w:p>
    <w:p w14:paraId="021A169F" w14:textId="77777777" w:rsidR="00AD3A74" w:rsidRPr="00AD3A74" w:rsidRDefault="00AD3A74" w:rsidP="00AD3A74">
      <w:pPr>
        <w:spacing w:line="360" w:lineRule="auto"/>
        <w:ind w:firstLine="720"/>
        <w:jc w:val="both"/>
        <w:rPr>
          <w:rFonts w:ascii="Times New Roman" w:eastAsia="SimSun" w:hAnsi="Times New Roman" w:cs="Times New Roman"/>
          <w:color w:val="000000"/>
          <w:sz w:val="24"/>
          <w:szCs w:val="24"/>
        </w:rPr>
      </w:pPr>
      <w:r w:rsidRPr="00AD3A74">
        <w:rPr>
          <w:rFonts w:ascii="Times New Roman" w:eastAsia="SimSun" w:hAnsi="Times New Roman" w:cs="Times New Roman"/>
          <w:color w:val="000000"/>
          <w:sz w:val="24"/>
          <w:szCs w:val="24"/>
        </w:rPr>
        <w:t>A literatura aponta que no Brasil (e na América Latina de um modo geral) é recorrente a utilização da política fiscal nos ciclos eleitorais, em anos de eleições os gastos governamentais elevam e a arrecadação reduz, produzindo déficits orçamentários. Estes ciclos contribuem para elevar a probabilidade de reeleição dos governantes. Neste trabalho o foco é a queda da arrecadação decorrente do baixo esforço de arrecadação em anos de eleição, especialmente no caso do IPTU, que é um imposto direto, mais suscetível ao custo político de sua cobrança, consequentemente, com implicações eleitorais. Dessa forma, o trabalho partiu do pressuposto de que a redução do esforço arrecadatório (preguiça fiscal), seja na redução dos valores cobrados, seja na baixa efetividade da cobrança, inclusive de lançamentos do IPTU na Dívida Ativa, eleva a probabilidade de reeleição dos incumbentes ou de seu grupo político. Em um ambiente de maior disputa eles tendem a evitar o custo político da cobrança de impostos, ainda mais em cenário político em que aparece novos atores (como ocorreu nas eleições de 2016, 2020 – muito disputada e, principalmente, 2024) o esforço de arrecadação deteriora ainda mais.</w:t>
      </w:r>
    </w:p>
    <w:p w14:paraId="3DE28CCE" w14:textId="77777777" w:rsidR="00AD3A74" w:rsidRPr="00AD3A74" w:rsidRDefault="00AD3A74" w:rsidP="00AD3A74">
      <w:pPr>
        <w:spacing w:line="360" w:lineRule="auto"/>
        <w:ind w:firstLine="708"/>
        <w:jc w:val="both"/>
        <w:rPr>
          <w:rFonts w:ascii="Times New Roman" w:eastAsia="Times New Roman" w:hAnsi="Times New Roman" w:cs="Times New Roman"/>
          <w:color w:val="000000"/>
          <w:sz w:val="24"/>
          <w:szCs w:val="24"/>
        </w:rPr>
      </w:pPr>
      <w:r w:rsidRPr="00AD3A74">
        <w:rPr>
          <w:rFonts w:ascii="Times New Roman" w:hAnsi="Times New Roman" w:cs="Times New Roman"/>
          <w:sz w:val="24"/>
          <w:szCs w:val="24"/>
        </w:rPr>
        <w:lastRenderedPageBreak/>
        <w:t xml:space="preserve">As evidências empíricas geradas pelas estatísticas descritivas sistematizadas neste estudo estão alinhadas com as abordagens teóricas sobre o tema. A principal conclusão, com a literatura, é que </w:t>
      </w:r>
      <w:bookmarkStart w:id="0" w:name="_Hlk132662718"/>
      <w:r w:rsidRPr="00AD3A74">
        <w:rPr>
          <w:rFonts w:ascii="Times New Roman" w:hAnsi="Times New Roman" w:cs="Times New Roman"/>
          <w:sz w:val="24"/>
          <w:szCs w:val="24"/>
        </w:rPr>
        <w:t>nos anos eleitorais ocorreram ou queda na arrecadação, caso de 2020 e 2024, ou um crescimento menor em 2016. Cabe salientar que em 2020, ano de pandemia,</w:t>
      </w:r>
      <w:r w:rsidRPr="00AD3A74">
        <w:rPr>
          <w:rFonts w:ascii="Times New Roman" w:eastAsia="Times New Roman" w:hAnsi="Times New Roman" w:cs="Times New Roman"/>
          <w:color w:val="000000"/>
          <w:sz w:val="24"/>
          <w:szCs w:val="24"/>
        </w:rPr>
        <w:t xml:space="preserve"> há uma queda em termo nominais (-5,71%) e em termos reais (-9,61%). Apesar das evidências de um comportamento oportunista, é preciso ser cauteloso, tendo em vista a pandemia da Covid-19, mesmo considerando que a cobrança do IPTU se dá nos primeiros meses do ano e o decreto de calamidade pública se dá em 20 de março de 2020. No entanto, costuma-se prorrogar a cobrança desse imposto para os meses de abril, ou seja, dentro do decreto de calamidade. </w:t>
      </w:r>
    </w:p>
    <w:p w14:paraId="374099C6" w14:textId="77777777" w:rsidR="00AD3A74" w:rsidRPr="00AD3A74" w:rsidRDefault="00AD3A74" w:rsidP="00AD3A74">
      <w:pPr>
        <w:spacing w:line="360" w:lineRule="auto"/>
        <w:ind w:firstLine="708"/>
        <w:jc w:val="both"/>
        <w:rPr>
          <w:rFonts w:ascii="Times New Roman" w:eastAsia="Times New Roman" w:hAnsi="Times New Roman" w:cs="Times New Roman"/>
          <w:color w:val="000000"/>
          <w:sz w:val="24"/>
          <w:szCs w:val="24"/>
        </w:rPr>
      </w:pPr>
      <w:r w:rsidRPr="00AD3A74">
        <w:rPr>
          <w:rFonts w:ascii="Times New Roman" w:eastAsia="Times New Roman" w:hAnsi="Times New Roman" w:cs="Times New Roman"/>
          <w:color w:val="000000"/>
          <w:sz w:val="24"/>
          <w:szCs w:val="24"/>
        </w:rPr>
        <w:t>Em 2016, como Guilherme Menezes não era candidato à reeleição e apesar de apoiar um candidato do seu grupo político, a arrecadação per capita aumenta, mesmo apresentando um crescimento menor do que no ano anterior. Cabe salientar que 2016 é um ano de efervescência política, com impeachment da presidenta e início da recessão, ou seja, uma componente cíclica negativa que poderia afetar a arrecadação. De modo que não é possível apontar que houve uma redução no esforço de arrecadação com objetivos de ganho eleitoral.</w:t>
      </w:r>
    </w:p>
    <w:p w14:paraId="445810BA" w14:textId="77777777" w:rsidR="00AD3A74" w:rsidRPr="00AD3A74" w:rsidRDefault="00AD3A74" w:rsidP="00AD3A74">
      <w:pPr>
        <w:spacing w:line="360" w:lineRule="auto"/>
        <w:ind w:firstLine="708"/>
        <w:jc w:val="both"/>
        <w:rPr>
          <w:rFonts w:ascii="Times New Roman" w:eastAsia="Times New Roman" w:hAnsi="Times New Roman" w:cs="Times New Roman"/>
          <w:color w:val="000000"/>
          <w:sz w:val="24"/>
          <w:szCs w:val="24"/>
        </w:rPr>
      </w:pPr>
      <w:r w:rsidRPr="00AD3A74">
        <w:rPr>
          <w:rFonts w:ascii="Times New Roman" w:eastAsia="Times New Roman" w:hAnsi="Times New Roman" w:cs="Times New Roman"/>
          <w:color w:val="000000"/>
          <w:sz w:val="24"/>
          <w:szCs w:val="24"/>
        </w:rPr>
        <w:t>Fica mais claro o comportamento oportunista nas eleições de 2024. Com possibilidade de reeleição para a incumbente a arrecadação cai 11,33% em termos nominais e 15,25% em termo reais. Considerando que em 2024 não há nenhuma componente cíclica (como pandemia ou recessão) influenciando negativamente a arrecadação, muito pelo contrário foi um ano de expansão fiscal, redução do desemprego e crescimento econômico, que poderia influenciar positivamente a arrecadação. Assim, fica claro que houve uma redução no esforço fiscal no ano da eleição. Até 2023, ano anterior à eleição, o mandato de Sheila Lemos acumulava um aumento de 79,51%, caindo a arrecadação per capita para 59,17% no ano da eleição, 2024.</w:t>
      </w:r>
    </w:p>
    <w:p w14:paraId="01869A92" w14:textId="77777777" w:rsidR="00AD3A74" w:rsidRPr="00AD3A74" w:rsidRDefault="00AD3A74" w:rsidP="00AD3A74">
      <w:pPr>
        <w:spacing w:line="360" w:lineRule="auto"/>
        <w:ind w:firstLine="708"/>
        <w:jc w:val="both"/>
        <w:rPr>
          <w:rFonts w:ascii="Times New Roman" w:eastAsia="Times New Roman" w:hAnsi="Times New Roman" w:cs="Times New Roman"/>
          <w:color w:val="000000"/>
          <w:sz w:val="24"/>
          <w:szCs w:val="24"/>
        </w:rPr>
      </w:pPr>
      <w:r w:rsidRPr="00AD3A74">
        <w:rPr>
          <w:rFonts w:ascii="Times New Roman" w:eastAsia="Times New Roman" w:hAnsi="Times New Roman" w:cs="Times New Roman"/>
          <w:color w:val="000000"/>
          <w:sz w:val="24"/>
          <w:szCs w:val="24"/>
        </w:rPr>
        <w:t>De um modo geral, fica evidente que em 2024 há um baixo esforço de arrecadação com o objetivo de aumentar a competitividade da incumbente nas eleições municipais. A queda na arrecadação, interrompendo um ciclo de alta, diante de crescimento econômico (uma possível componente cíclica positiva) só pode ser explicada pelo ciclo eleitoral, haja vista a ausência de fatores conjunturais ou estruturais afetando a arrecadação. Além disto, e como reforço do argumento acima, em 2025 há um aumento médio entre 20 e 30% nos valores cobrados no IPTU. Tendo em vista, que a inflação de 2024 foi inferior a 5% (IPCA – 4,83%) e não houve correção da tabela genérica de valores (a última correção foi em 2013 – mandato de Guilherme Menezes), esse volume de aumento em ano pós eleição reforça a tese de presença de ciclos políticos eleitorais na cobrança do IPTU em 2024.</w:t>
      </w:r>
    </w:p>
    <w:bookmarkEnd w:id="0"/>
    <w:p w14:paraId="23E49534" w14:textId="77777777" w:rsidR="00AD3A74" w:rsidRPr="00AD3A74" w:rsidRDefault="00AD3A74" w:rsidP="00AD3A74">
      <w:pPr>
        <w:spacing w:line="240" w:lineRule="auto"/>
        <w:rPr>
          <w:rFonts w:ascii="Times New Roman" w:eastAsia="Times New Roman" w:hAnsi="Times New Roman" w:cs="Times New Roman"/>
          <w:bCs/>
          <w:sz w:val="24"/>
          <w:szCs w:val="24"/>
        </w:rPr>
      </w:pPr>
    </w:p>
    <w:p w14:paraId="133CAE48" w14:textId="77777777" w:rsidR="00AD3A74" w:rsidRPr="00C137E1" w:rsidRDefault="00AD3A74" w:rsidP="00AD3A74">
      <w:pPr>
        <w:spacing w:line="240" w:lineRule="auto"/>
        <w:rPr>
          <w:rFonts w:ascii="Times New Roman" w:eastAsia="Times New Roman" w:hAnsi="Times New Roman" w:cs="Times New Roman"/>
          <w:bCs/>
          <w:sz w:val="24"/>
          <w:szCs w:val="24"/>
        </w:rPr>
      </w:pPr>
      <w:r w:rsidRPr="00C137E1">
        <w:rPr>
          <w:rFonts w:ascii="Times New Roman" w:eastAsia="Times New Roman" w:hAnsi="Times New Roman" w:cs="Times New Roman"/>
          <w:bCs/>
          <w:sz w:val="24"/>
          <w:szCs w:val="24"/>
        </w:rPr>
        <w:t>REFERÊNCIAS</w:t>
      </w:r>
    </w:p>
    <w:p w14:paraId="19F6BC97" w14:textId="77777777" w:rsidR="00AD3A74" w:rsidRPr="00C137E1" w:rsidRDefault="00AD3A74" w:rsidP="00AD3A74">
      <w:pPr>
        <w:spacing w:line="360" w:lineRule="auto"/>
        <w:jc w:val="both"/>
        <w:rPr>
          <w:rFonts w:ascii="Times New Roman" w:eastAsia="Times New Roman" w:hAnsi="Times New Roman" w:cs="Times New Roman"/>
          <w:b/>
          <w:sz w:val="24"/>
          <w:szCs w:val="24"/>
        </w:rPr>
      </w:pPr>
    </w:p>
    <w:p w14:paraId="0B4A5304" w14:textId="77777777" w:rsidR="007D56D3" w:rsidRPr="00281A16" w:rsidRDefault="007D56D3" w:rsidP="00281A16">
      <w:pPr>
        <w:spacing w:before="120" w:after="240" w:line="240" w:lineRule="auto"/>
        <w:rPr>
          <w:rFonts w:ascii="Times New Roman" w:hAnsi="Times New Roman" w:cs="Times New Roman"/>
          <w:sz w:val="24"/>
          <w:szCs w:val="24"/>
        </w:rPr>
      </w:pPr>
      <w:r w:rsidRPr="00281A16">
        <w:rPr>
          <w:rFonts w:ascii="Times New Roman" w:hAnsi="Times New Roman" w:cs="Times New Roman"/>
          <w:sz w:val="24"/>
          <w:szCs w:val="24"/>
        </w:rPr>
        <w:t xml:space="preserve">BRASIL. Ministério da Fazenda. </w:t>
      </w:r>
      <w:r w:rsidRPr="00281A16">
        <w:rPr>
          <w:rFonts w:ascii="Times New Roman" w:hAnsi="Times New Roman" w:cs="Times New Roman"/>
          <w:b/>
          <w:bCs/>
          <w:sz w:val="24"/>
          <w:szCs w:val="24"/>
        </w:rPr>
        <w:t>Estimativa da Carga Tributária Bruta do Governo Geral</w:t>
      </w:r>
      <w:r w:rsidRPr="00281A16">
        <w:rPr>
          <w:rFonts w:ascii="Times New Roman" w:hAnsi="Times New Roman" w:cs="Times New Roman"/>
          <w:sz w:val="24"/>
          <w:szCs w:val="24"/>
        </w:rPr>
        <w:t xml:space="preserve"> - Boletim Brasília: Secretaria do Tesouro Nacional – Brasília, STN. Mar. 2023.</w:t>
      </w:r>
    </w:p>
    <w:p w14:paraId="5A97C415" w14:textId="730DC1B6" w:rsidR="007D56D3" w:rsidRPr="00281A16" w:rsidRDefault="00281A16" w:rsidP="00281A16">
      <w:pPr>
        <w:spacing w:before="120" w:after="240" w:line="240" w:lineRule="auto"/>
        <w:jc w:val="both"/>
        <w:rPr>
          <w:rFonts w:ascii="Times New Roman" w:eastAsia="Times New Roman" w:hAnsi="Times New Roman" w:cs="Times New Roman"/>
          <w:sz w:val="24"/>
          <w:szCs w:val="24"/>
          <w:lang w:val="en-US"/>
        </w:rPr>
      </w:pPr>
      <w:r w:rsidRPr="00281A16">
        <w:rPr>
          <w:rFonts w:ascii="Times New Roman" w:hAnsi="Times New Roman" w:cs="Times New Roman"/>
          <w:sz w:val="24"/>
          <w:szCs w:val="24"/>
        </w:rPr>
        <w:t>BRASIL. Tesouro Nacional (TN</w:t>
      </w:r>
      <w:proofErr w:type="gramStart"/>
      <w:r w:rsidRPr="00281A16">
        <w:rPr>
          <w:rFonts w:ascii="Times New Roman" w:hAnsi="Times New Roman" w:cs="Times New Roman"/>
          <w:sz w:val="24"/>
          <w:szCs w:val="24"/>
        </w:rPr>
        <w:t>).</w:t>
      </w:r>
      <w:proofErr w:type="spellStart"/>
      <w:r w:rsidRPr="00281A16">
        <w:rPr>
          <w:rFonts w:ascii="Times New Roman" w:hAnsi="Times New Roman" w:cs="Times New Roman"/>
          <w:sz w:val="24"/>
          <w:szCs w:val="24"/>
        </w:rPr>
        <w:t>Siconfi</w:t>
      </w:r>
      <w:proofErr w:type="spellEnd"/>
      <w:proofErr w:type="gramEnd"/>
      <w:r w:rsidRPr="00281A16">
        <w:rPr>
          <w:rFonts w:ascii="Times New Roman" w:hAnsi="Times New Roman" w:cs="Times New Roman"/>
          <w:sz w:val="24"/>
          <w:szCs w:val="24"/>
        </w:rPr>
        <w:t xml:space="preserve">: Sistema de Informações Contábeis e Ficais do Setor Público. </w:t>
      </w:r>
      <w:r w:rsidRPr="00281A16">
        <w:rPr>
          <w:rFonts w:ascii="Times New Roman" w:hAnsi="Times New Roman" w:cs="Times New Roman"/>
          <w:b/>
          <w:bCs/>
          <w:sz w:val="24"/>
          <w:szCs w:val="24"/>
        </w:rPr>
        <w:t>Contas Anuais</w:t>
      </w:r>
      <w:r w:rsidRPr="00281A16">
        <w:rPr>
          <w:rFonts w:ascii="Times New Roman" w:hAnsi="Times New Roman" w:cs="Times New Roman"/>
          <w:sz w:val="24"/>
          <w:szCs w:val="24"/>
        </w:rPr>
        <w:t xml:space="preserve">. Área Pública -Consulta </w:t>
      </w:r>
      <w:proofErr w:type="spellStart"/>
      <w:r w:rsidRPr="00281A16">
        <w:rPr>
          <w:rFonts w:ascii="Times New Roman" w:hAnsi="Times New Roman" w:cs="Times New Roman"/>
          <w:sz w:val="24"/>
          <w:szCs w:val="24"/>
        </w:rPr>
        <w:t>Finbra</w:t>
      </w:r>
      <w:proofErr w:type="spellEnd"/>
      <w:r w:rsidRPr="00281A16">
        <w:rPr>
          <w:rFonts w:ascii="Times New Roman" w:hAnsi="Times New Roman" w:cs="Times New Roman"/>
          <w:sz w:val="24"/>
          <w:szCs w:val="24"/>
        </w:rPr>
        <w:t xml:space="preserve">. Brasília, DF. 2025. Disponível em: &lt;siconfi.tesouro.gov.br/siconfi/pages/public/consulta_finbra/finbra&gt;. </w:t>
      </w:r>
      <w:proofErr w:type="spellStart"/>
      <w:r w:rsidRPr="00281A16">
        <w:rPr>
          <w:rFonts w:ascii="Times New Roman" w:hAnsi="Times New Roman" w:cs="Times New Roman"/>
          <w:sz w:val="24"/>
          <w:szCs w:val="24"/>
          <w:lang w:val="en-US"/>
        </w:rPr>
        <w:t>Acesso</w:t>
      </w:r>
      <w:proofErr w:type="spellEnd"/>
      <w:r w:rsidRPr="00281A16">
        <w:rPr>
          <w:rFonts w:ascii="Times New Roman" w:hAnsi="Times New Roman" w:cs="Times New Roman"/>
          <w:sz w:val="24"/>
          <w:szCs w:val="24"/>
          <w:lang w:val="en-US"/>
        </w:rPr>
        <w:t xml:space="preserve"> </w:t>
      </w:r>
      <w:proofErr w:type="spellStart"/>
      <w:r w:rsidRPr="00281A16">
        <w:rPr>
          <w:rFonts w:ascii="Times New Roman" w:hAnsi="Times New Roman" w:cs="Times New Roman"/>
          <w:sz w:val="24"/>
          <w:szCs w:val="24"/>
          <w:lang w:val="en-US"/>
        </w:rPr>
        <w:t>em</w:t>
      </w:r>
      <w:proofErr w:type="spellEnd"/>
      <w:r w:rsidRPr="00281A16">
        <w:rPr>
          <w:rFonts w:ascii="Times New Roman" w:hAnsi="Times New Roman" w:cs="Times New Roman"/>
          <w:sz w:val="24"/>
          <w:szCs w:val="24"/>
          <w:lang w:val="en-US"/>
        </w:rPr>
        <w:t>: 14 ago. 2025</w:t>
      </w:r>
    </w:p>
    <w:p w14:paraId="3B896660" w14:textId="71CD6291" w:rsidR="007D56D3" w:rsidRPr="00281A16" w:rsidRDefault="007D56D3" w:rsidP="00281A16">
      <w:pPr>
        <w:spacing w:before="120" w:after="240"/>
        <w:ind w:right="813"/>
        <w:rPr>
          <w:rFonts w:ascii="Times New Roman" w:hAnsi="Times New Roman" w:cs="Times New Roman"/>
          <w:sz w:val="24"/>
          <w:lang w:val="en-US"/>
        </w:rPr>
      </w:pPr>
      <w:r w:rsidRPr="00281A16">
        <w:rPr>
          <w:rFonts w:ascii="Times New Roman" w:hAnsi="Times New Roman" w:cs="Times New Roman"/>
          <w:sz w:val="24"/>
          <w:lang w:val="en-US"/>
        </w:rPr>
        <w:t>DOWNS,</w:t>
      </w:r>
      <w:r w:rsidRPr="00281A16">
        <w:rPr>
          <w:rFonts w:ascii="Times New Roman" w:hAnsi="Times New Roman" w:cs="Times New Roman"/>
          <w:spacing w:val="8"/>
          <w:sz w:val="24"/>
          <w:lang w:val="en-US"/>
        </w:rPr>
        <w:t xml:space="preserve"> </w:t>
      </w:r>
      <w:r w:rsidRPr="00281A16">
        <w:rPr>
          <w:rFonts w:ascii="Times New Roman" w:hAnsi="Times New Roman" w:cs="Times New Roman"/>
          <w:sz w:val="24"/>
          <w:lang w:val="en-US"/>
        </w:rPr>
        <w:t>A.</w:t>
      </w:r>
      <w:r w:rsidRPr="00281A16">
        <w:rPr>
          <w:rFonts w:ascii="Times New Roman" w:hAnsi="Times New Roman" w:cs="Times New Roman"/>
          <w:spacing w:val="8"/>
          <w:sz w:val="24"/>
          <w:lang w:val="en-US"/>
        </w:rPr>
        <w:t xml:space="preserve"> </w:t>
      </w:r>
      <w:r w:rsidRPr="00281A16">
        <w:rPr>
          <w:rFonts w:ascii="Times New Roman" w:hAnsi="Times New Roman" w:cs="Times New Roman"/>
          <w:sz w:val="24"/>
          <w:lang w:val="en-US"/>
        </w:rPr>
        <w:t>An</w:t>
      </w:r>
      <w:r w:rsidRPr="00281A16">
        <w:rPr>
          <w:rFonts w:ascii="Times New Roman" w:hAnsi="Times New Roman" w:cs="Times New Roman"/>
          <w:spacing w:val="8"/>
          <w:sz w:val="24"/>
          <w:lang w:val="en-US"/>
        </w:rPr>
        <w:t xml:space="preserve"> </w:t>
      </w:r>
      <w:r w:rsidRPr="00281A16">
        <w:rPr>
          <w:rFonts w:ascii="Times New Roman" w:hAnsi="Times New Roman" w:cs="Times New Roman"/>
          <w:sz w:val="24"/>
          <w:lang w:val="en-US"/>
        </w:rPr>
        <w:t>Economic</w:t>
      </w:r>
      <w:r w:rsidRPr="00281A16">
        <w:rPr>
          <w:rFonts w:ascii="Times New Roman" w:hAnsi="Times New Roman" w:cs="Times New Roman"/>
          <w:spacing w:val="7"/>
          <w:sz w:val="24"/>
          <w:lang w:val="en-US"/>
        </w:rPr>
        <w:t xml:space="preserve"> </w:t>
      </w:r>
      <w:r w:rsidRPr="00281A16">
        <w:rPr>
          <w:rFonts w:ascii="Times New Roman" w:hAnsi="Times New Roman" w:cs="Times New Roman"/>
          <w:sz w:val="24"/>
          <w:lang w:val="en-US"/>
        </w:rPr>
        <w:t>Theory</w:t>
      </w:r>
      <w:r w:rsidRPr="00281A16">
        <w:rPr>
          <w:rFonts w:ascii="Times New Roman" w:hAnsi="Times New Roman" w:cs="Times New Roman"/>
          <w:spacing w:val="7"/>
          <w:sz w:val="24"/>
          <w:lang w:val="en-US"/>
        </w:rPr>
        <w:t xml:space="preserve"> </w:t>
      </w:r>
      <w:r w:rsidRPr="00281A16">
        <w:rPr>
          <w:rFonts w:ascii="Times New Roman" w:hAnsi="Times New Roman" w:cs="Times New Roman"/>
          <w:sz w:val="24"/>
          <w:lang w:val="en-US"/>
        </w:rPr>
        <w:t>of</w:t>
      </w:r>
      <w:r w:rsidRPr="00281A16">
        <w:rPr>
          <w:rFonts w:ascii="Times New Roman" w:hAnsi="Times New Roman" w:cs="Times New Roman"/>
          <w:spacing w:val="7"/>
          <w:sz w:val="24"/>
          <w:lang w:val="en-US"/>
        </w:rPr>
        <w:t xml:space="preserve"> </w:t>
      </w:r>
      <w:r w:rsidRPr="00281A16">
        <w:rPr>
          <w:rFonts w:ascii="Times New Roman" w:hAnsi="Times New Roman" w:cs="Times New Roman"/>
          <w:sz w:val="24"/>
          <w:lang w:val="en-US"/>
        </w:rPr>
        <w:t>Political</w:t>
      </w:r>
      <w:r w:rsidRPr="00281A16">
        <w:rPr>
          <w:rFonts w:ascii="Times New Roman" w:hAnsi="Times New Roman" w:cs="Times New Roman"/>
          <w:spacing w:val="7"/>
          <w:sz w:val="24"/>
          <w:lang w:val="en-US"/>
        </w:rPr>
        <w:t xml:space="preserve"> </w:t>
      </w:r>
      <w:r w:rsidRPr="00281A16">
        <w:rPr>
          <w:rFonts w:ascii="Times New Roman" w:hAnsi="Times New Roman" w:cs="Times New Roman"/>
          <w:sz w:val="24"/>
          <w:lang w:val="en-US"/>
        </w:rPr>
        <w:t>Action</w:t>
      </w:r>
      <w:r w:rsidRPr="00281A16">
        <w:rPr>
          <w:rFonts w:ascii="Times New Roman" w:hAnsi="Times New Roman" w:cs="Times New Roman"/>
          <w:spacing w:val="7"/>
          <w:sz w:val="24"/>
          <w:lang w:val="en-US"/>
        </w:rPr>
        <w:t xml:space="preserve"> </w:t>
      </w:r>
      <w:r w:rsidRPr="00281A16">
        <w:rPr>
          <w:rFonts w:ascii="Times New Roman" w:hAnsi="Times New Roman" w:cs="Times New Roman"/>
          <w:sz w:val="24"/>
          <w:lang w:val="en-US"/>
        </w:rPr>
        <w:t>in</w:t>
      </w:r>
      <w:r w:rsidRPr="00281A16">
        <w:rPr>
          <w:rFonts w:ascii="Times New Roman" w:hAnsi="Times New Roman" w:cs="Times New Roman"/>
          <w:spacing w:val="7"/>
          <w:sz w:val="24"/>
          <w:lang w:val="en-US"/>
        </w:rPr>
        <w:t xml:space="preserve"> </w:t>
      </w:r>
      <w:r w:rsidRPr="00281A16">
        <w:rPr>
          <w:rFonts w:ascii="Times New Roman" w:hAnsi="Times New Roman" w:cs="Times New Roman"/>
          <w:sz w:val="24"/>
          <w:lang w:val="en-US"/>
        </w:rPr>
        <w:t>a</w:t>
      </w:r>
      <w:r w:rsidRPr="00281A16">
        <w:rPr>
          <w:rFonts w:ascii="Times New Roman" w:hAnsi="Times New Roman" w:cs="Times New Roman"/>
          <w:spacing w:val="7"/>
          <w:sz w:val="24"/>
          <w:lang w:val="en-US"/>
        </w:rPr>
        <w:t xml:space="preserve"> </w:t>
      </w:r>
      <w:r w:rsidRPr="00281A16">
        <w:rPr>
          <w:rFonts w:ascii="Times New Roman" w:hAnsi="Times New Roman" w:cs="Times New Roman"/>
          <w:sz w:val="24"/>
          <w:lang w:val="en-US"/>
        </w:rPr>
        <w:t>Democracy.</w:t>
      </w:r>
      <w:r w:rsidRPr="00281A16">
        <w:rPr>
          <w:rFonts w:ascii="Times New Roman" w:hAnsi="Times New Roman" w:cs="Times New Roman"/>
          <w:spacing w:val="7"/>
          <w:sz w:val="24"/>
          <w:lang w:val="en-US"/>
        </w:rPr>
        <w:t xml:space="preserve"> </w:t>
      </w:r>
      <w:r w:rsidRPr="00281A16">
        <w:rPr>
          <w:rFonts w:ascii="Times New Roman" w:hAnsi="Times New Roman" w:cs="Times New Roman"/>
          <w:b/>
          <w:sz w:val="24"/>
          <w:lang w:val="en-US"/>
        </w:rPr>
        <w:t>Journal</w:t>
      </w:r>
      <w:r w:rsidRPr="00281A16">
        <w:rPr>
          <w:rFonts w:ascii="Times New Roman" w:hAnsi="Times New Roman" w:cs="Times New Roman"/>
          <w:b/>
          <w:spacing w:val="7"/>
          <w:sz w:val="24"/>
          <w:lang w:val="en-US"/>
        </w:rPr>
        <w:t xml:space="preserve"> </w:t>
      </w:r>
      <w:r w:rsidRPr="00281A16">
        <w:rPr>
          <w:rFonts w:ascii="Times New Roman" w:hAnsi="Times New Roman" w:cs="Times New Roman"/>
          <w:b/>
          <w:sz w:val="24"/>
          <w:lang w:val="en-US"/>
        </w:rPr>
        <w:t>of</w:t>
      </w:r>
      <w:r w:rsidRPr="00281A16">
        <w:rPr>
          <w:rFonts w:ascii="Times New Roman" w:hAnsi="Times New Roman" w:cs="Times New Roman"/>
          <w:b/>
          <w:spacing w:val="-57"/>
          <w:sz w:val="24"/>
          <w:lang w:val="en-US"/>
        </w:rPr>
        <w:t xml:space="preserve"> </w:t>
      </w:r>
      <w:r w:rsidRPr="00281A16">
        <w:rPr>
          <w:rFonts w:ascii="Times New Roman" w:hAnsi="Times New Roman" w:cs="Times New Roman"/>
          <w:b/>
          <w:sz w:val="24"/>
          <w:lang w:val="en-US"/>
        </w:rPr>
        <w:t>Political</w:t>
      </w:r>
      <w:r w:rsidRPr="00281A16">
        <w:rPr>
          <w:rFonts w:ascii="Times New Roman" w:hAnsi="Times New Roman" w:cs="Times New Roman"/>
          <w:b/>
          <w:spacing w:val="-1"/>
          <w:sz w:val="24"/>
          <w:lang w:val="en-US"/>
        </w:rPr>
        <w:t xml:space="preserve"> </w:t>
      </w:r>
      <w:r w:rsidRPr="00281A16">
        <w:rPr>
          <w:rFonts w:ascii="Times New Roman" w:hAnsi="Times New Roman" w:cs="Times New Roman"/>
          <w:b/>
          <w:sz w:val="24"/>
          <w:lang w:val="en-US"/>
        </w:rPr>
        <w:t>Economy</w:t>
      </w:r>
      <w:r w:rsidRPr="00281A16">
        <w:rPr>
          <w:rFonts w:ascii="Times New Roman" w:hAnsi="Times New Roman" w:cs="Times New Roman"/>
          <w:sz w:val="24"/>
          <w:lang w:val="en-US"/>
        </w:rPr>
        <w:t xml:space="preserve">, v. 65, n. 2, p.135-50, </w:t>
      </w:r>
      <w:proofErr w:type="spellStart"/>
      <w:r w:rsidRPr="00281A16">
        <w:rPr>
          <w:rFonts w:ascii="Times New Roman" w:hAnsi="Times New Roman" w:cs="Times New Roman"/>
          <w:sz w:val="24"/>
          <w:lang w:val="en-US"/>
        </w:rPr>
        <w:t>abril</w:t>
      </w:r>
      <w:proofErr w:type="spellEnd"/>
      <w:r w:rsidRPr="00281A16">
        <w:rPr>
          <w:rFonts w:ascii="Times New Roman" w:hAnsi="Times New Roman" w:cs="Times New Roman"/>
          <w:sz w:val="24"/>
          <w:lang w:val="en-US"/>
        </w:rPr>
        <w:t xml:space="preserve"> de 1957.</w:t>
      </w:r>
    </w:p>
    <w:p w14:paraId="45979D82" w14:textId="77777777" w:rsidR="007D56D3" w:rsidRPr="00281A16" w:rsidRDefault="007D56D3" w:rsidP="00281A16">
      <w:pPr>
        <w:spacing w:before="120" w:after="240"/>
        <w:ind w:right="668"/>
        <w:rPr>
          <w:rFonts w:ascii="Times New Roman" w:hAnsi="Times New Roman" w:cs="Times New Roman"/>
          <w:sz w:val="24"/>
          <w:lang w:val="en-US"/>
        </w:rPr>
      </w:pPr>
      <w:r w:rsidRPr="00281A16">
        <w:rPr>
          <w:rFonts w:ascii="Times New Roman" w:hAnsi="Times New Roman" w:cs="Times New Roman"/>
          <w:sz w:val="24"/>
          <w:lang w:val="en-US"/>
        </w:rPr>
        <w:t>DRAZEN,</w:t>
      </w:r>
      <w:r w:rsidRPr="00281A16">
        <w:rPr>
          <w:rFonts w:ascii="Times New Roman" w:hAnsi="Times New Roman" w:cs="Times New Roman"/>
          <w:spacing w:val="37"/>
          <w:sz w:val="24"/>
          <w:lang w:val="en-US"/>
        </w:rPr>
        <w:t xml:space="preserve"> </w:t>
      </w:r>
      <w:r w:rsidRPr="00281A16">
        <w:rPr>
          <w:rFonts w:ascii="Times New Roman" w:hAnsi="Times New Roman" w:cs="Times New Roman"/>
          <w:sz w:val="24"/>
          <w:lang w:val="en-US"/>
        </w:rPr>
        <w:t>A.</w:t>
      </w:r>
      <w:r w:rsidRPr="00281A16">
        <w:rPr>
          <w:rFonts w:ascii="Times New Roman" w:hAnsi="Times New Roman" w:cs="Times New Roman"/>
          <w:spacing w:val="37"/>
          <w:sz w:val="24"/>
          <w:lang w:val="en-US"/>
        </w:rPr>
        <w:t xml:space="preserve"> </w:t>
      </w:r>
      <w:r w:rsidRPr="00281A16">
        <w:rPr>
          <w:rFonts w:ascii="Times New Roman" w:hAnsi="Times New Roman" w:cs="Times New Roman"/>
          <w:sz w:val="24"/>
          <w:lang w:val="en-US"/>
        </w:rPr>
        <w:t>The</w:t>
      </w:r>
      <w:r w:rsidRPr="00281A16">
        <w:rPr>
          <w:rFonts w:ascii="Times New Roman" w:hAnsi="Times New Roman" w:cs="Times New Roman"/>
          <w:spacing w:val="37"/>
          <w:sz w:val="24"/>
          <w:lang w:val="en-US"/>
        </w:rPr>
        <w:t xml:space="preserve"> </w:t>
      </w:r>
      <w:r w:rsidRPr="00281A16">
        <w:rPr>
          <w:rFonts w:ascii="Times New Roman" w:hAnsi="Times New Roman" w:cs="Times New Roman"/>
          <w:sz w:val="24"/>
          <w:lang w:val="en-US"/>
        </w:rPr>
        <w:t>Political</w:t>
      </w:r>
      <w:r w:rsidRPr="00281A16">
        <w:rPr>
          <w:rFonts w:ascii="Times New Roman" w:hAnsi="Times New Roman" w:cs="Times New Roman"/>
          <w:spacing w:val="37"/>
          <w:sz w:val="24"/>
          <w:lang w:val="en-US"/>
        </w:rPr>
        <w:t xml:space="preserve"> </w:t>
      </w:r>
      <w:r w:rsidRPr="00281A16">
        <w:rPr>
          <w:rFonts w:ascii="Times New Roman" w:hAnsi="Times New Roman" w:cs="Times New Roman"/>
          <w:sz w:val="24"/>
          <w:lang w:val="en-US"/>
        </w:rPr>
        <w:t>Business</w:t>
      </w:r>
      <w:r w:rsidRPr="00281A16">
        <w:rPr>
          <w:rFonts w:ascii="Times New Roman" w:hAnsi="Times New Roman" w:cs="Times New Roman"/>
          <w:spacing w:val="37"/>
          <w:sz w:val="24"/>
          <w:lang w:val="en-US"/>
        </w:rPr>
        <w:t xml:space="preserve"> </w:t>
      </w:r>
      <w:r w:rsidRPr="00281A16">
        <w:rPr>
          <w:rFonts w:ascii="Times New Roman" w:hAnsi="Times New Roman" w:cs="Times New Roman"/>
          <w:sz w:val="24"/>
          <w:lang w:val="en-US"/>
        </w:rPr>
        <w:t>Cycle</w:t>
      </w:r>
      <w:r w:rsidRPr="00281A16">
        <w:rPr>
          <w:rFonts w:ascii="Times New Roman" w:hAnsi="Times New Roman" w:cs="Times New Roman"/>
          <w:spacing w:val="37"/>
          <w:sz w:val="24"/>
          <w:lang w:val="en-US"/>
        </w:rPr>
        <w:t xml:space="preserve"> </w:t>
      </w:r>
      <w:r w:rsidRPr="00281A16">
        <w:rPr>
          <w:rFonts w:ascii="Times New Roman" w:hAnsi="Times New Roman" w:cs="Times New Roman"/>
          <w:sz w:val="24"/>
          <w:lang w:val="en-US"/>
        </w:rPr>
        <w:t>After</w:t>
      </w:r>
      <w:r w:rsidRPr="00281A16">
        <w:rPr>
          <w:rFonts w:ascii="Times New Roman" w:hAnsi="Times New Roman" w:cs="Times New Roman"/>
          <w:spacing w:val="37"/>
          <w:sz w:val="24"/>
          <w:lang w:val="en-US"/>
        </w:rPr>
        <w:t xml:space="preserve"> </w:t>
      </w:r>
      <w:r w:rsidRPr="00281A16">
        <w:rPr>
          <w:rFonts w:ascii="Times New Roman" w:hAnsi="Times New Roman" w:cs="Times New Roman"/>
          <w:sz w:val="24"/>
          <w:lang w:val="en-US"/>
        </w:rPr>
        <w:t>25</w:t>
      </w:r>
      <w:r w:rsidRPr="00281A16">
        <w:rPr>
          <w:rFonts w:ascii="Times New Roman" w:hAnsi="Times New Roman" w:cs="Times New Roman"/>
          <w:spacing w:val="37"/>
          <w:sz w:val="24"/>
          <w:lang w:val="en-US"/>
        </w:rPr>
        <w:t xml:space="preserve"> </w:t>
      </w:r>
      <w:r w:rsidRPr="00281A16">
        <w:rPr>
          <w:rFonts w:ascii="Times New Roman" w:hAnsi="Times New Roman" w:cs="Times New Roman"/>
          <w:sz w:val="24"/>
          <w:lang w:val="en-US"/>
        </w:rPr>
        <w:t>Years.</w:t>
      </w:r>
      <w:r w:rsidRPr="00281A16">
        <w:rPr>
          <w:rFonts w:ascii="Times New Roman" w:hAnsi="Times New Roman" w:cs="Times New Roman"/>
          <w:spacing w:val="36"/>
          <w:sz w:val="24"/>
          <w:lang w:val="en-US"/>
        </w:rPr>
        <w:t xml:space="preserve"> </w:t>
      </w:r>
      <w:r w:rsidRPr="00281A16">
        <w:rPr>
          <w:rFonts w:ascii="Times New Roman" w:hAnsi="Times New Roman" w:cs="Times New Roman"/>
          <w:b/>
          <w:sz w:val="24"/>
          <w:lang w:val="en-US"/>
        </w:rPr>
        <w:t>National</w:t>
      </w:r>
      <w:r w:rsidRPr="00281A16">
        <w:rPr>
          <w:rFonts w:ascii="Times New Roman" w:hAnsi="Times New Roman" w:cs="Times New Roman"/>
          <w:b/>
          <w:spacing w:val="36"/>
          <w:sz w:val="24"/>
          <w:lang w:val="en-US"/>
        </w:rPr>
        <w:t xml:space="preserve"> </w:t>
      </w:r>
      <w:r w:rsidRPr="00281A16">
        <w:rPr>
          <w:rFonts w:ascii="Times New Roman" w:hAnsi="Times New Roman" w:cs="Times New Roman"/>
          <w:b/>
          <w:sz w:val="24"/>
          <w:lang w:val="en-US"/>
        </w:rPr>
        <w:t>Bureau</w:t>
      </w:r>
      <w:r w:rsidRPr="00281A16">
        <w:rPr>
          <w:rFonts w:ascii="Times New Roman" w:hAnsi="Times New Roman" w:cs="Times New Roman"/>
          <w:b/>
          <w:spacing w:val="36"/>
          <w:sz w:val="24"/>
          <w:lang w:val="en-US"/>
        </w:rPr>
        <w:t xml:space="preserve"> </w:t>
      </w:r>
      <w:r w:rsidRPr="00281A16">
        <w:rPr>
          <w:rFonts w:ascii="Times New Roman" w:hAnsi="Times New Roman" w:cs="Times New Roman"/>
          <w:b/>
          <w:sz w:val="24"/>
          <w:lang w:val="en-US"/>
        </w:rPr>
        <w:t>of</w:t>
      </w:r>
      <w:r w:rsidRPr="00281A16">
        <w:rPr>
          <w:rFonts w:ascii="Times New Roman" w:hAnsi="Times New Roman" w:cs="Times New Roman"/>
          <w:b/>
          <w:spacing w:val="-57"/>
          <w:sz w:val="24"/>
          <w:lang w:val="en-US"/>
        </w:rPr>
        <w:t xml:space="preserve"> </w:t>
      </w:r>
      <w:r w:rsidRPr="00281A16">
        <w:rPr>
          <w:rFonts w:ascii="Times New Roman" w:hAnsi="Times New Roman" w:cs="Times New Roman"/>
          <w:b/>
          <w:sz w:val="24"/>
          <w:lang w:val="en-US"/>
        </w:rPr>
        <w:t>Economic</w:t>
      </w:r>
      <w:r w:rsidRPr="00281A16">
        <w:rPr>
          <w:rFonts w:ascii="Times New Roman" w:hAnsi="Times New Roman" w:cs="Times New Roman"/>
          <w:b/>
          <w:spacing w:val="-1"/>
          <w:sz w:val="24"/>
          <w:lang w:val="en-US"/>
        </w:rPr>
        <w:t xml:space="preserve"> </w:t>
      </w:r>
      <w:r w:rsidRPr="00281A16">
        <w:rPr>
          <w:rFonts w:ascii="Times New Roman" w:hAnsi="Times New Roman" w:cs="Times New Roman"/>
          <w:b/>
          <w:sz w:val="24"/>
          <w:lang w:val="en-US"/>
        </w:rPr>
        <w:t>Research</w:t>
      </w:r>
      <w:r w:rsidRPr="00281A16">
        <w:rPr>
          <w:rFonts w:ascii="Times New Roman" w:hAnsi="Times New Roman" w:cs="Times New Roman"/>
          <w:sz w:val="24"/>
          <w:lang w:val="en-US"/>
        </w:rPr>
        <w:t>, 2000.</w:t>
      </w:r>
    </w:p>
    <w:p w14:paraId="6D816996" w14:textId="69C501DB" w:rsidR="006734C2" w:rsidRDefault="006734C2" w:rsidP="00281A16">
      <w:pPr>
        <w:spacing w:before="120" w:after="240" w:line="240" w:lineRule="auto"/>
        <w:jc w:val="both"/>
        <w:rPr>
          <w:rFonts w:ascii="Times New Roman" w:hAnsi="Times New Roman" w:cs="Times New Roman"/>
          <w:sz w:val="24"/>
          <w:szCs w:val="24"/>
        </w:rPr>
      </w:pPr>
      <w:r w:rsidRPr="00281A16">
        <w:rPr>
          <w:rFonts w:ascii="Times New Roman" w:hAnsi="Times New Roman" w:cs="Times New Roman"/>
          <w:sz w:val="24"/>
          <w:szCs w:val="24"/>
        </w:rPr>
        <w:t xml:space="preserve">FONSECA, L. de Oliveira; NETO, Raul da Mota S. Transferências Incondicionais e Impostos Locais no Brasil: O Impacto do FPM sobre Impostos Municipais. In: </w:t>
      </w:r>
      <w:r w:rsidRPr="00281A16">
        <w:rPr>
          <w:rFonts w:ascii="Times New Roman" w:hAnsi="Times New Roman" w:cs="Times New Roman"/>
          <w:sz w:val="24"/>
          <w:szCs w:val="24"/>
          <w:shd w:val="clear" w:color="auto" w:fill="FFFFFF"/>
        </w:rPr>
        <w:t>Associação Brasileira de Estudos Regionais e Urbanos – XX ENABER.</w:t>
      </w:r>
      <w:r w:rsidRPr="00281A16">
        <w:rPr>
          <w:rFonts w:ascii="Times New Roman" w:hAnsi="Times New Roman" w:cs="Times New Roman"/>
          <w:sz w:val="24"/>
          <w:szCs w:val="24"/>
        </w:rPr>
        <w:t xml:space="preserve"> </w:t>
      </w:r>
      <w:r w:rsidRPr="00281A16">
        <w:rPr>
          <w:rFonts w:ascii="Times New Roman" w:hAnsi="Times New Roman" w:cs="Times New Roman"/>
          <w:b/>
          <w:bCs/>
          <w:sz w:val="24"/>
          <w:szCs w:val="24"/>
        </w:rPr>
        <w:t>Anais</w:t>
      </w:r>
      <w:r w:rsidRPr="00281A16">
        <w:rPr>
          <w:rFonts w:ascii="Times New Roman" w:hAnsi="Times New Roman" w:cs="Times New Roman"/>
          <w:sz w:val="24"/>
          <w:szCs w:val="24"/>
        </w:rPr>
        <w:t>. Salvador. 2022.</w:t>
      </w:r>
    </w:p>
    <w:p w14:paraId="17CE978B" w14:textId="2CC4852B" w:rsidR="00251077" w:rsidRPr="00281A16" w:rsidRDefault="00251077" w:rsidP="00281A16">
      <w:pPr>
        <w:spacing w:before="120" w:after="24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LOPES, Roberto Paulo Machado. </w:t>
      </w:r>
      <w:r w:rsidR="005101BC" w:rsidRPr="005101BC">
        <w:rPr>
          <w:rFonts w:ascii="Times New Roman" w:hAnsi="Times New Roman" w:cs="Times New Roman"/>
          <w:sz w:val="24"/>
          <w:szCs w:val="24"/>
        </w:rPr>
        <w:t>Universidade, externalidades e desenvolvimento regional: As dimensões socioeconômicas da expansão do ensino superior em Vitória da Conquista</w:t>
      </w:r>
      <w:r w:rsidR="005101BC">
        <w:rPr>
          <w:rFonts w:ascii="Times New Roman" w:hAnsi="Times New Roman" w:cs="Times New Roman"/>
          <w:sz w:val="24"/>
          <w:szCs w:val="24"/>
        </w:rPr>
        <w:t xml:space="preserve">. </w:t>
      </w:r>
      <w:r w:rsidR="005101BC" w:rsidRPr="005101BC">
        <w:rPr>
          <w:rFonts w:ascii="Times New Roman" w:hAnsi="Times New Roman" w:cs="Times New Roman"/>
          <w:b/>
          <w:bCs/>
          <w:sz w:val="24"/>
          <w:szCs w:val="24"/>
        </w:rPr>
        <w:t>Tese</w:t>
      </w:r>
      <w:r w:rsidR="005101BC">
        <w:rPr>
          <w:rFonts w:ascii="Times New Roman" w:hAnsi="Times New Roman" w:cs="Times New Roman"/>
          <w:sz w:val="24"/>
          <w:szCs w:val="24"/>
        </w:rPr>
        <w:t xml:space="preserve"> (Doutorado). Universidade de Barcelona. 2013. Disponível em: </w:t>
      </w:r>
      <w:hyperlink r:id="rId8" w:history="1">
        <w:r w:rsidR="005101BC" w:rsidRPr="007E569D">
          <w:rPr>
            <w:rStyle w:val="Hyperlink"/>
            <w:rFonts w:ascii="Times New Roman" w:hAnsi="Times New Roman" w:cs="Times New Roman"/>
            <w:sz w:val="24"/>
            <w:szCs w:val="24"/>
          </w:rPr>
          <w:t>https://diposit.ub.edu/dspace/handle/2445/42000</w:t>
        </w:r>
      </w:hyperlink>
      <w:r w:rsidR="005101BC">
        <w:rPr>
          <w:rFonts w:ascii="Times New Roman" w:hAnsi="Times New Roman" w:cs="Times New Roman"/>
          <w:sz w:val="24"/>
          <w:szCs w:val="24"/>
        </w:rPr>
        <w:t xml:space="preserve">. </w:t>
      </w:r>
    </w:p>
    <w:p w14:paraId="0E21E683" w14:textId="40BD87FC" w:rsidR="006734C2" w:rsidRPr="00281A16" w:rsidRDefault="006734C2" w:rsidP="00281A16">
      <w:pPr>
        <w:spacing w:before="120" w:after="240" w:line="240" w:lineRule="auto"/>
        <w:jc w:val="both"/>
        <w:rPr>
          <w:rFonts w:ascii="Times New Roman" w:eastAsia="Times New Roman" w:hAnsi="Times New Roman" w:cs="Times New Roman"/>
          <w:sz w:val="24"/>
          <w:szCs w:val="24"/>
        </w:rPr>
      </w:pPr>
      <w:r w:rsidRPr="00281A16">
        <w:rPr>
          <w:rFonts w:ascii="Times New Roman" w:eastAsia="Times New Roman" w:hAnsi="Times New Roman" w:cs="Times New Roman"/>
          <w:sz w:val="24"/>
          <w:szCs w:val="24"/>
        </w:rPr>
        <w:t xml:space="preserve">LOPES, Roberto Paulo Machado; VIEIRA, Olga </w:t>
      </w:r>
      <w:proofErr w:type="spellStart"/>
      <w:r w:rsidRPr="00281A16">
        <w:rPr>
          <w:rFonts w:ascii="Times New Roman" w:eastAsia="Times New Roman" w:hAnsi="Times New Roman" w:cs="Times New Roman"/>
          <w:sz w:val="24"/>
          <w:szCs w:val="24"/>
        </w:rPr>
        <w:t>Hianni</w:t>
      </w:r>
      <w:proofErr w:type="spellEnd"/>
      <w:r w:rsidRPr="00281A16">
        <w:rPr>
          <w:rFonts w:ascii="Times New Roman" w:eastAsia="Times New Roman" w:hAnsi="Times New Roman" w:cs="Times New Roman"/>
          <w:sz w:val="24"/>
          <w:szCs w:val="24"/>
        </w:rPr>
        <w:t xml:space="preserve"> Portugal; STEIN, Alexandre de Queiroz. Transferências fiscais e esforço de arrecadação: uma análise de cluster para classificação dos municípios baianos segundo o comportamento tributário - 2023. </w:t>
      </w:r>
      <w:proofErr w:type="spellStart"/>
      <w:r w:rsidRPr="00281A16">
        <w:rPr>
          <w:rFonts w:ascii="Times New Roman" w:eastAsia="Times New Roman" w:hAnsi="Times New Roman" w:cs="Times New Roman"/>
          <w:b/>
          <w:bCs/>
          <w:sz w:val="24"/>
          <w:szCs w:val="24"/>
        </w:rPr>
        <w:t>Geopauta</w:t>
      </w:r>
      <w:proofErr w:type="spellEnd"/>
      <w:r w:rsidRPr="00281A16">
        <w:rPr>
          <w:rFonts w:ascii="Times New Roman" w:eastAsia="Times New Roman" w:hAnsi="Times New Roman" w:cs="Times New Roman"/>
          <w:sz w:val="24"/>
          <w:szCs w:val="24"/>
        </w:rPr>
        <w:t>, </w:t>
      </w:r>
      <w:r w:rsidRPr="00281A16">
        <w:rPr>
          <w:rFonts w:ascii="Times New Roman" w:eastAsia="Times New Roman" w:hAnsi="Times New Roman" w:cs="Times New Roman"/>
          <w:i/>
          <w:iCs/>
          <w:sz w:val="24"/>
          <w:szCs w:val="24"/>
        </w:rPr>
        <w:t>[S. l.]</w:t>
      </w:r>
      <w:r w:rsidRPr="00281A16">
        <w:rPr>
          <w:rFonts w:ascii="Times New Roman" w:eastAsia="Times New Roman" w:hAnsi="Times New Roman" w:cs="Times New Roman"/>
          <w:sz w:val="24"/>
          <w:szCs w:val="24"/>
        </w:rPr>
        <w:t>, v. 9, n. 1, p. e16932, 2025. DOI: 10.22481/</w:t>
      </w:r>
      <w:proofErr w:type="gramStart"/>
      <w:r w:rsidRPr="00281A16">
        <w:rPr>
          <w:rFonts w:ascii="Times New Roman" w:eastAsia="Times New Roman" w:hAnsi="Times New Roman" w:cs="Times New Roman"/>
          <w:sz w:val="24"/>
          <w:szCs w:val="24"/>
        </w:rPr>
        <w:t>rg.v</w:t>
      </w:r>
      <w:proofErr w:type="gramEnd"/>
      <w:r w:rsidRPr="00281A16">
        <w:rPr>
          <w:rFonts w:ascii="Times New Roman" w:eastAsia="Times New Roman" w:hAnsi="Times New Roman" w:cs="Times New Roman"/>
          <w:sz w:val="24"/>
          <w:szCs w:val="24"/>
        </w:rPr>
        <w:t>9.16932. Disponível em: https://periodicos2.uesb.br/geo/article/view/16932. Acesso em: 19 set. 2025.</w:t>
      </w:r>
    </w:p>
    <w:p w14:paraId="72A2940A" w14:textId="792C5001" w:rsidR="006734C2" w:rsidRPr="006734C2" w:rsidRDefault="006734C2" w:rsidP="00281A16">
      <w:pPr>
        <w:spacing w:before="120" w:after="240" w:line="240" w:lineRule="auto"/>
        <w:jc w:val="both"/>
        <w:rPr>
          <w:rFonts w:ascii="Times New Roman" w:eastAsia="Times New Roman" w:hAnsi="Times New Roman" w:cs="Times New Roman"/>
          <w:sz w:val="24"/>
          <w:szCs w:val="24"/>
        </w:rPr>
      </w:pPr>
      <w:r w:rsidRPr="006734C2">
        <w:rPr>
          <w:rFonts w:ascii="Times New Roman" w:eastAsia="Times New Roman" w:hAnsi="Times New Roman" w:cs="Times New Roman"/>
          <w:sz w:val="24"/>
          <w:szCs w:val="24"/>
        </w:rPr>
        <w:t>LOPES, R. P M.; VIEIRA, O. H. P. Descentralização fiscal, ciclos políticos e impostos locais: uma análise do efeito das transferências incondicionais sobre a arrecadação dos municípios baianos.</w:t>
      </w:r>
      <w:r w:rsidR="00281A16">
        <w:rPr>
          <w:rFonts w:ascii="Times New Roman" w:eastAsia="Times New Roman" w:hAnsi="Times New Roman" w:cs="Times New Roman"/>
          <w:sz w:val="24"/>
          <w:szCs w:val="24"/>
        </w:rPr>
        <w:t xml:space="preserve"> </w:t>
      </w:r>
      <w:r w:rsidRPr="006734C2">
        <w:rPr>
          <w:rFonts w:ascii="Times New Roman" w:eastAsia="Times New Roman" w:hAnsi="Times New Roman" w:cs="Times New Roman"/>
          <w:b/>
          <w:bCs/>
          <w:sz w:val="24"/>
          <w:szCs w:val="24"/>
        </w:rPr>
        <w:t>Cadernos de Ciências Sociais Aplicadas</w:t>
      </w:r>
      <w:r w:rsidRPr="006734C2">
        <w:rPr>
          <w:rFonts w:ascii="Times New Roman" w:eastAsia="Times New Roman" w:hAnsi="Times New Roman" w:cs="Times New Roman"/>
          <w:sz w:val="24"/>
          <w:szCs w:val="24"/>
        </w:rPr>
        <w:t>,</w:t>
      </w:r>
      <w:r w:rsidR="00281A16">
        <w:rPr>
          <w:rFonts w:ascii="Times New Roman" w:eastAsia="Times New Roman" w:hAnsi="Times New Roman" w:cs="Times New Roman"/>
          <w:sz w:val="24"/>
          <w:szCs w:val="24"/>
        </w:rPr>
        <w:t xml:space="preserve"> </w:t>
      </w:r>
      <w:r w:rsidRPr="006734C2">
        <w:rPr>
          <w:rFonts w:ascii="Times New Roman" w:eastAsia="Times New Roman" w:hAnsi="Times New Roman" w:cs="Times New Roman"/>
          <w:sz w:val="24"/>
          <w:szCs w:val="24"/>
        </w:rPr>
        <w:t>[</w:t>
      </w:r>
      <w:proofErr w:type="spellStart"/>
      <w:r w:rsidRPr="006734C2">
        <w:rPr>
          <w:rFonts w:ascii="Times New Roman" w:eastAsia="Times New Roman" w:hAnsi="Times New Roman" w:cs="Times New Roman"/>
          <w:sz w:val="24"/>
          <w:szCs w:val="24"/>
        </w:rPr>
        <w:t>S.l</w:t>
      </w:r>
      <w:proofErr w:type="spellEnd"/>
      <w:r w:rsidRPr="006734C2">
        <w:rPr>
          <w:rFonts w:ascii="Times New Roman" w:eastAsia="Times New Roman" w:hAnsi="Times New Roman" w:cs="Times New Roman"/>
          <w:sz w:val="24"/>
          <w:szCs w:val="24"/>
        </w:rPr>
        <w:t xml:space="preserve">.], v. 21, n. 37, p. 9-32, </w:t>
      </w:r>
      <w:r w:rsidRPr="00281A16">
        <w:rPr>
          <w:rFonts w:ascii="Times New Roman" w:eastAsia="Times New Roman" w:hAnsi="Times New Roman" w:cs="Times New Roman"/>
          <w:sz w:val="24"/>
          <w:szCs w:val="24"/>
        </w:rPr>
        <w:t xml:space="preserve">2024. Disponível em: </w:t>
      </w:r>
      <w:hyperlink r:id="rId9" w:history="1">
        <w:r w:rsidR="00281A16" w:rsidRPr="007E569D">
          <w:rPr>
            <w:rStyle w:val="Hyperlink"/>
            <w:rFonts w:ascii="Times New Roman" w:eastAsia="Times New Roman" w:hAnsi="Times New Roman" w:cs="Times New Roman"/>
            <w:sz w:val="24"/>
            <w:szCs w:val="24"/>
          </w:rPr>
          <w:t>https://periodicos2.uesb.br/index.php/ccsa/article/view/13674</w:t>
        </w:r>
      </w:hyperlink>
      <w:r w:rsidRPr="00281A16">
        <w:rPr>
          <w:rFonts w:ascii="Times New Roman" w:eastAsia="Times New Roman" w:hAnsi="Times New Roman" w:cs="Times New Roman"/>
          <w:sz w:val="24"/>
          <w:szCs w:val="24"/>
        </w:rPr>
        <w:t>.</w:t>
      </w:r>
      <w:r w:rsidR="00281A16">
        <w:rPr>
          <w:rFonts w:ascii="Times New Roman" w:eastAsia="Times New Roman" w:hAnsi="Times New Roman" w:cs="Times New Roman"/>
          <w:sz w:val="24"/>
          <w:szCs w:val="24"/>
        </w:rPr>
        <w:t xml:space="preserve"> Acesso em: 19 set. 2025.</w:t>
      </w:r>
    </w:p>
    <w:p w14:paraId="37BC44F4" w14:textId="77777777" w:rsidR="006734C2" w:rsidRPr="00281A16" w:rsidRDefault="006734C2" w:rsidP="00281A16">
      <w:pPr>
        <w:tabs>
          <w:tab w:val="left" w:pos="0"/>
          <w:tab w:val="left" w:pos="426"/>
        </w:tabs>
        <w:spacing w:before="120" w:after="240" w:line="240" w:lineRule="auto"/>
        <w:rPr>
          <w:rFonts w:ascii="Times New Roman" w:hAnsi="Times New Roman" w:cs="Times New Roman"/>
          <w:sz w:val="24"/>
          <w:szCs w:val="24"/>
        </w:rPr>
      </w:pPr>
      <w:r w:rsidRPr="00281A16">
        <w:rPr>
          <w:rFonts w:ascii="Times New Roman" w:hAnsi="Times New Roman" w:cs="Times New Roman"/>
          <w:sz w:val="24"/>
          <w:szCs w:val="24"/>
        </w:rPr>
        <w:t xml:space="preserve">MENDES, Marcos José. Descentralização fiscal baseada em transferências e captura de recursos públicos nos municípios brasileiros. </w:t>
      </w:r>
      <w:r w:rsidRPr="00281A16">
        <w:rPr>
          <w:rFonts w:ascii="Times New Roman" w:hAnsi="Times New Roman" w:cs="Times New Roman"/>
          <w:b/>
          <w:bCs/>
          <w:sz w:val="24"/>
          <w:szCs w:val="24"/>
        </w:rPr>
        <w:t>Tese</w:t>
      </w:r>
      <w:r w:rsidRPr="00281A16">
        <w:rPr>
          <w:rFonts w:ascii="Times New Roman" w:hAnsi="Times New Roman" w:cs="Times New Roman"/>
          <w:sz w:val="24"/>
          <w:szCs w:val="24"/>
        </w:rPr>
        <w:t xml:space="preserve"> (Doutorado). Faculdade de Economia, Administração e Contabilidade da USP. 2002.</w:t>
      </w:r>
    </w:p>
    <w:p w14:paraId="36231C01" w14:textId="77777777" w:rsidR="00AD3A74" w:rsidRPr="00281A16" w:rsidRDefault="00AD3A74" w:rsidP="00281A16">
      <w:pPr>
        <w:spacing w:before="120" w:after="240" w:line="240" w:lineRule="auto"/>
        <w:jc w:val="both"/>
        <w:rPr>
          <w:rFonts w:ascii="Times New Roman" w:eastAsia="Times New Roman" w:hAnsi="Times New Roman" w:cs="Times New Roman"/>
          <w:sz w:val="24"/>
          <w:szCs w:val="24"/>
          <w:lang w:val="en-US"/>
        </w:rPr>
      </w:pPr>
      <w:r w:rsidRPr="00281A16">
        <w:rPr>
          <w:rFonts w:ascii="Times New Roman" w:eastAsia="Times New Roman" w:hAnsi="Times New Roman" w:cs="Times New Roman"/>
          <w:sz w:val="24"/>
          <w:szCs w:val="24"/>
          <w:lang w:val="en-US"/>
        </w:rPr>
        <w:t xml:space="preserve">NORDHAUS, W. D. (1975). </w:t>
      </w:r>
      <w:r w:rsidRPr="00281A16">
        <w:rPr>
          <w:rFonts w:ascii="Times New Roman" w:eastAsia="Times New Roman" w:hAnsi="Times New Roman" w:cs="Times New Roman"/>
          <w:b/>
          <w:sz w:val="24"/>
          <w:szCs w:val="24"/>
          <w:lang w:val="en-US"/>
        </w:rPr>
        <w:t xml:space="preserve">The political business cycle. </w:t>
      </w:r>
      <w:r w:rsidRPr="00281A16">
        <w:rPr>
          <w:rFonts w:ascii="Times New Roman" w:eastAsia="Times New Roman" w:hAnsi="Times New Roman" w:cs="Times New Roman"/>
          <w:sz w:val="24"/>
          <w:szCs w:val="24"/>
          <w:lang w:val="en-US"/>
        </w:rPr>
        <w:t>The Review of Economic</w:t>
      </w:r>
    </w:p>
    <w:p w14:paraId="7BF6157F" w14:textId="77777777" w:rsidR="00AD3A74" w:rsidRPr="00281A16" w:rsidRDefault="00AD3A74" w:rsidP="00281A16">
      <w:pPr>
        <w:spacing w:before="120" w:after="240" w:line="240" w:lineRule="auto"/>
        <w:jc w:val="both"/>
        <w:rPr>
          <w:rFonts w:ascii="Times New Roman" w:eastAsia="Times New Roman" w:hAnsi="Times New Roman" w:cs="Times New Roman"/>
          <w:sz w:val="24"/>
          <w:szCs w:val="24"/>
        </w:rPr>
      </w:pPr>
      <w:r w:rsidRPr="00281A16">
        <w:rPr>
          <w:rFonts w:ascii="Times New Roman" w:eastAsia="Times New Roman" w:hAnsi="Times New Roman" w:cs="Times New Roman"/>
          <w:sz w:val="24"/>
          <w:szCs w:val="24"/>
          <w:lang w:val="en-US"/>
        </w:rPr>
        <w:t xml:space="preserve">Studies, 42 (2), 169-190. </w:t>
      </w:r>
      <w:r w:rsidRPr="00281A16">
        <w:rPr>
          <w:rFonts w:ascii="Times New Roman" w:eastAsia="Times New Roman" w:hAnsi="Times New Roman" w:cs="Times New Roman"/>
          <w:b/>
          <w:sz w:val="24"/>
          <w:szCs w:val="24"/>
        </w:rPr>
        <w:t xml:space="preserve">Rev. de Direito Tributário e Financeiro </w:t>
      </w:r>
      <w:r w:rsidRPr="00281A16">
        <w:rPr>
          <w:rFonts w:ascii="Times New Roman" w:eastAsia="Times New Roman" w:hAnsi="Times New Roman" w:cs="Times New Roman"/>
          <w:sz w:val="24"/>
          <w:szCs w:val="24"/>
        </w:rPr>
        <w:t>| e-ISSN: 2526-0138 | Evento Virtual | v. 6 | n. 1 | p. 102-118 | Jan/</w:t>
      </w:r>
      <w:proofErr w:type="gramStart"/>
      <w:r w:rsidRPr="00281A16">
        <w:rPr>
          <w:rFonts w:ascii="Times New Roman" w:eastAsia="Times New Roman" w:hAnsi="Times New Roman" w:cs="Times New Roman"/>
          <w:sz w:val="24"/>
          <w:szCs w:val="24"/>
        </w:rPr>
        <w:t>Jun.</w:t>
      </w:r>
      <w:proofErr w:type="gramEnd"/>
      <w:r w:rsidRPr="00281A16">
        <w:rPr>
          <w:rFonts w:ascii="Times New Roman" w:eastAsia="Times New Roman" w:hAnsi="Times New Roman" w:cs="Times New Roman"/>
          <w:sz w:val="24"/>
          <w:szCs w:val="24"/>
        </w:rPr>
        <w:t xml:space="preserve"> 2020 108.</w:t>
      </w:r>
    </w:p>
    <w:p w14:paraId="6AC9E660" w14:textId="77777777" w:rsidR="006734C2" w:rsidRPr="00281A16" w:rsidRDefault="006734C2" w:rsidP="00281A16">
      <w:pPr>
        <w:spacing w:before="120" w:after="240" w:line="240" w:lineRule="auto"/>
        <w:rPr>
          <w:rFonts w:ascii="Times New Roman" w:hAnsi="Times New Roman" w:cs="Times New Roman"/>
          <w:sz w:val="24"/>
          <w:szCs w:val="24"/>
          <w:lang w:val="en-US"/>
        </w:rPr>
      </w:pPr>
      <w:r w:rsidRPr="00281A16">
        <w:rPr>
          <w:rFonts w:ascii="Times New Roman" w:hAnsi="Times New Roman" w:cs="Times New Roman"/>
          <w:sz w:val="24"/>
          <w:szCs w:val="24"/>
          <w:lang w:val="en-US"/>
        </w:rPr>
        <w:t xml:space="preserve">ROGOFF, Kenneth. Equilibrium Political Budget Cycles. </w:t>
      </w:r>
      <w:r w:rsidRPr="00281A16">
        <w:rPr>
          <w:rFonts w:ascii="Times New Roman" w:hAnsi="Times New Roman" w:cs="Times New Roman"/>
          <w:bCs/>
          <w:i/>
          <w:iCs/>
          <w:sz w:val="24"/>
          <w:szCs w:val="24"/>
          <w:lang w:val="en-US"/>
        </w:rPr>
        <w:t>American Economic Review</w:t>
      </w:r>
      <w:r w:rsidRPr="00281A16">
        <w:rPr>
          <w:rFonts w:ascii="Times New Roman" w:hAnsi="Times New Roman" w:cs="Times New Roman"/>
          <w:sz w:val="24"/>
          <w:szCs w:val="24"/>
          <w:lang w:val="en-US"/>
        </w:rPr>
        <w:t>,</w:t>
      </w:r>
      <w:r w:rsidRPr="00281A16">
        <w:rPr>
          <w:rFonts w:ascii="Times New Roman" w:hAnsi="Times New Roman" w:cs="Times New Roman"/>
          <w:spacing w:val="1"/>
          <w:sz w:val="24"/>
          <w:szCs w:val="24"/>
          <w:lang w:val="en-US"/>
        </w:rPr>
        <w:t xml:space="preserve"> </w:t>
      </w:r>
      <w:r w:rsidRPr="00281A16">
        <w:rPr>
          <w:rFonts w:ascii="Times New Roman" w:hAnsi="Times New Roman" w:cs="Times New Roman"/>
          <w:sz w:val="24"/>
          <w:szCs w:val="24"/>
          <w:lang w:val="en-US"/>
        </w:rPr>
        <w:t xml:space="preserve">v.80, n.1, p.21-36, </w:t>
      </w:r>
      <w:proofErr w:type="spellStart"/>
      <w:r w:rsidRPr="00281A16">
        <w:rPr>
          <w:rFonts w:ascii="Times New Roman" w:hAnsi="Times New Roman" w:cs="Times New Roman"/>
          <w:sz w:val="24"/>
          <w:szCs w:val="24"/>
          <w:lang w:val="en-US"/>
        </w:rPr>
        <w:t>março</w:t>
      </w:r>
      <w:proofErr w:type="spellEnd"/>
      <w:r w:rsidRPr="00281A16">
        <w:rPr>
          <w:rFonts w:ascii="Times New Roman" w:hAnsi="Times New Roman" w:cs="Times New Roman"/>
          <w:sz w:val="24"/>
          <w:szCs w:val="24"/>
          <w:lang w:val="en-US"/>
        </w:rPr>
        <w:t xml:space="preserve"> de 1990.</w:t>
      </w:r>
    </w:p>
    <w:p w14:paraId="623450E7" w14:textId="57221003" w:rsidR="00AD3A74" w:rsidRPr="00B96B8F" w:rsidRDefault="00AD3A74" w:rsidP="00281A16">
      <w:pPr>
        <w:spacing w:before="120" w:after="240" w:line="240" w:lineRule="auto"/>
        <w:jc w:val="both"/>
        <w:rPr>
          <w:rFonts w:ascii="Times New Roman" w:eastAsia="Times New Roman" w:hAnsi="Times New Roman" w:cs="Times New Roman"/>
          <w:sz w:val="24"/>
          <w:szCs w:val="24"/>
          <w:lang w:val="en-US"/>
        </w:rPr>
      </w:pPr>
      <w:r w:rsidRPr="00281A16">
        <w:rPr>
          <w:rFonts w:ascii="Times New Roman" w:eastAsia="Times New Roman" w:hAnsi="Times New Roman" w:cs="Times New Roman"/>
          <w:sz w:val="24"/>
          <w:szCs w:val="24"/>
          <w:lang w:val="en-US"/>
        </w:rPr>
        <w:t xml:space="preserve">ROGOFF, K., &amp; SIBERT, A. (1988). </w:t>
      </w:r>
      <w:r w:rsidRPr="00281A16">
        <w:rPr>
          <w:rFonts w:ascii="Times New Roman" w:eastAsia="Times New Roman" w:hAnsi="Times New Roman" w:cs="Times New Roman"/>
          <w:b/>
          <w:sz w:val="24"/>
          <w:szCs w:val="24"/>
          <w:lang w:val="en-US"/>
        </w:rPr>
        <w:t>Elections and macroeconomic policy cycles.</w:t>
      </w:r>
      <w:r w:rsidRPr="00281A16">
        <w:rPr>
          <w:rFonts w:ascii="Times New Roman" w:eastAsia="Times New Roman" w:hAnsi="Times New Roman" w:cs="Times New Roman"/>
          <w:sz w:val="24"/>
          <w:szCs w:val="24"/>
          <w:lang w:val="en-US"/>
        </w:rPr>
        <w:t xml:space="preserve"> </w:t>
      </w:r>
      <w:r w:rsidRPr="00B96B8F">
        <w:rPr>
          <w:rFonts w:ascii="Times New Roman" w:eastAsia="Times New Roman" w:hAnsi="Times New Roman" w:cs="Times New Roman"/>
          <w:sz w:val="24"/>
          <w:szCs w:val="24"/>
          <w:lang w:val="en-US"/>
        </w:rPr>
        <w:t>The Review of Economic Studies, 55 (1), 1-16.</w:t>
      </w:r>
    </w:p>
    <w:p w14:paraId="3C7B1C7B" w14:textId="496FC3EC" w:rsidR="006734C2" w:rsidRPr="00281A16" w:rsidRDefault="006734C2" w:rsidP="00281A16">
      <w:pPr>
        <w:tabs>
          <w:tab w:val="left" w:pos="0"/>
          <w:tab w:val="left" w:pos="426"/>
        </w:tabs>
        <w:spacing w:before="120" w:after="240" w:line="240" w:lineRule="auto"/>
        <w:rPr>
          <w:rFonts w:ascii="Times New Roman" w:hAnsi="Times New Roman" w:cs="Times New Roman"/>
          <w:sz w:val="24"/>
          <w:szCs w:val="24"/>
          <w:lang w:val="en-US"/>
        </w:rPr>
      </w:pPr>
      <w:r w:rsidRPr="00281A16">
        <w:rPr>
          <w:rFonts w:ascii="Times New Roman" w:hAnsi="Times New Roman" w:cs="Times New Roman"/>
          <w:sz w:val="24"/>
          <w:szCs w:val="24"/>
          <w:lang w:val="en-US"/>
        </w:rPr>
        <w:t xml:space="preserve">TIEBOUT, C. M. A pure Theory of Local Government Expenditure. </w:t>
      </w:r>
      <w:r w:rsidRPr="00281A16">
        <w:rPr>
          <w:rFonts w:ascii="Times New Roman" w:hAnsi="Times New Roman" w:cs="Times New Roman"/>
          <w:b/>
          <w:bCs/>
          <w:sz w:val="24"/>
          <w:szCs w:val="24"/>
          <w:lang w:val="en-US"/>
        </w:rPr>
        <w:t>Journal of Political Economy</w:t>
      </w:r>
      <w:r w:rsidRPr="00281A16">
        <w:rPr>
          <w:rFonts w:ascii="Times New Roman" w:hAnsi="Times New Roman" w:cs="Times New Roman"/>
          <w:sz w:val="24"/>
          <w:szCs w:val="24"/>
          <w:lang w:val="en-US"/>
        </w:rPr>
        <w:t>, v. 64, p. 416-424, 1956.</w:t>
      </w:r>
    </w:p>
    <w:p w14:paraId="4E9D2225" w14:textId="3C2EFF64" w:rsidR="007D56D3" w:rsidRPr="00251077" w:rsidRDefault="007D56D3" w:rsidP="00281A16">
      <w:pPr>
        <w:tabs>
          <w:tab w:val="left" w:pos="0"/>
          <w:tab w:val="left" w:pos="426"/>
        </w:tabs>
        <w:spacing w:before="120" w:after="240" w:line="240" w:lineRule="auto"/>
        <w:rPr>
          <w:rFonts w:ascii="Times New Roman" w:hAnsi="Times New Roman" w:cs="Times New Roman"/>
          <w:sz w:val="24"/>
          <w:szCs w:val="24"/>
        </w:rPr>
      </w:pPr>
      <w:r w:rsidRPr="00281A16">
        <w:rPr>
          <w:rFonts w:ascii="Times New Roman" w:hAnsi="Times New Roman" w:cs="Times New Roman"/>
          <w:sz w:val="24"/>
          <w:szCs w:val="24"/>
        </w:rPr>
        <w:lastRenderedPageBreak/>
        <w:t xml:space="preserve">VICENTE, E. F. R.; NASCIMENTO, L. S. A efetividade dos ciclos políticos nos municípios brasileiros: </w:t>
      </w:r>
      <w:r w:rsidRPr="00251077">
        <w:rPr>
          <w:rFonts w:ascii="Times New Roman" w:hAnsi="Times New Roman" w:cs="Times New Roman"/>
          <w:sz w:val="24"/>
          <w:szCs w:val="24"/>
        </w:rPr>
        <w:t xml:space="preserve">um enfoque contábil. </w:t>
      </w:r>
      <w:r w:rsidRPr="00251077">
        <w:rPr>
          <w:rFonts w:ascii="Times New Roman" w:hAnsi="Times New Roman" w:cs="Times New Roman"/>
          <w:b/>
          <w:bCs/>
          <w:sz w:val="24"/>
          <w:szCs w:val="24"/>
        </w:rPr>
        <w:t>Revista de Contabilidade e Organizações</w:t>
      </w:r>
      <w:r w:rsidRPr="00251077">
        <w:rPr>
          <w:rFonts w:ascii="Times New Roman" w:hAnsi="Times New Roman" w:cs="Times New Roman"/>
          <w:sz w:val="24"/>
          <w:szCs w:val="24"/>
        </w:rPr>
        <w:t>, v. 6, n. 14, p. 106-126, 2012.</w:t>
      </w:r>
    </w:p>
    <w:p w14:paraId="644CE947" w14:textId="77777777" w:rsidR="00251077" w:rsidRPr="00251077" w:rsidRDefault="00251077" w:rsidP="00251077">
      <w:pPr>
        <w:tabs>
          <w:tab w:val="left" w:pos="0"/>
          <w:tab w:val="left" w:pos="426"/>
        </w:tabs>
        <w:spacing w:after="120" w:line="240" w:lineRule="auto"/>
        <w:rPr>
          <w:rFonts w:ascii="Times New Roman" w:hAnsi="Times New Roman" w:cs="Times New Roman"/>
          <w:sz w:val="24"/>
          <w:szCs w:val="24"/>
        </w:rPr>
      </w:pPr>
      <w:r w:rsidRPr="00251077">
        <w:rPr>
          <w:rFonts w:ascii="Times New Roman" w:hAnsi="Times New Roman" w:cs="Times New Roman"/>
          <w:sz w:val="24"/>
          <w:szCs w:val="24"/>
        </w:rPr>
        <w:t xml:space="preserve">VIEIRA, Michelle Aparecida; ABRANTES, Luiz Antônio; ALMEIDA, Fernanda Maria de. Desenvolvimento socioeconômico dos municípios brasileiros: uma análise do Fundo de Participação dos Municípios (FPM). </w:t>
      </w:r>
      <w:r w:rsidRPr="00251077">
        <w:rPr>
          <w:rFonts w:ascii="Times New Roman" w:hAnsi="Times New Roman" w:cs="Times New Roman"/>
          <w:b/>
          <w:bCs/>
          <w:sz w:val="24"/>
          <w:szCs w:val="24"/>
        </w:rPr>
        <w:t>Gestão e Sociedade</w:t>
      </w:r>
      <w:r w:rsidRPr="00251077">
        <w:rPr>
          <w:rFonts w:ascii="Times New Roman" w:hAnsi="Times New Roman" w:cs="Times New Roman"/>
          <w:sz w:val="24"/>
          <w:szCs w:val="24"/>
        </w:rPr>
        <w:t>, v. 14, n. 38, p. 3480-3506, 2020.</w:t>
      </w:r>
    </w:p>
    <w:p w14:paraId="05522C53" w14:textId="77777777" w:rsidR="006734C2" w:rsidRPr="00281A16" w:rsidRDefault="006734C2" w:rsidP="00AD3A74">
      <w:pPr>
        <w:spacing w:before="240" w:line="240" w:lineRule="auto"/>
        <w:jc w:val="both"/>
        <w:rPr>
          <w:rFonts w:ascii="Times New Roman" w:eastAsia="Times New Roman" w:hAnsi="Times New Roman" w:cs="Times New Roman"/>
          <w:sz w:val="24"/>
          <w:szCs w:val="24"/>
        </w:rPr>
      </w:pPr>
    </w:p>
    <w:p w14:paraId="2718FB30" w14:textId="77777777" w:rsidR="00AD3A74" w:rsidRPr="00AD3A74" w:rsidRDefault="00AD3A74" w:rsidP="00AD3A74">
      <w:pPr>
        <w:widowControl w:val="0"/>
        <w:pBdr>
          <w:top w:val="nil"/>
          <w:left w:val="nil"/>
          <w:bottom w:val="nil"/>
          <w:right w:val="nil"/>
          <w:between w:val="nil"/>
        </w:pBdr>
        <w:spacing w:before="619" w:line="199" w:lineRule="auto"/>
        <w:rPr>
          <w:rFonts w:ascii="Times New Roman" w:eastAsia="Times New Roman" w:hAnsi="Times New Roman" w:cs="Times New Roman"/>
          <w:sz w:val="24"/>
          <w:szCs w:val="24"/>
        </w:rPr>
      </w:pPr>
      <w:r w:rsidRPr="00AD3A74">
        <w:rPr>
          <w:rFonts w:ascii="Times New Roman" w:eastAsia="Times New Roman" w:hAnsi="Times New Roman" w:cs="Times New Roman"/>
          <w:noProof/>
          <w:sz w:val="24"/>
          <w:szCs w:val="24"/>
        </w:rPr>
        <w:drawing>
          <wp:anchor distT="19050" distB="19050" distL="19050" distR="19050" simplePos="0" relativeHeight="251659264" behindDoc="1" locked="0" layoutInCell="1" hidden="0" allowOverlap="1" wp14:anchorId="4ECBE291" wp14:editId="7EBFB195">
            <wp:simplePos x="0" y="0"/>
            <wp:positionH relativeFrom="page">
              <wp:align>right</wp:align>
            </wp:positionH>
            <wp:positionV relativeFrom="page">
              <wp:posOffset>9906000</wp:posOffset>
            </wp:positionV>
            <wp:extent cx="7553325" cy="753745"/>
            <wp:effectExtent l="0" t="0" r="9525" b="8255"/>
            <wp:wrapNone/>
            <wp:docPr id="17404874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7553325" cy="753745"/>
                    </a:xfrm>
                    <a:prstGeom prst="rect">
                      <a:avLst/>
                    </a:prstGeom>
                    <a:ln/>
                  </pic:spPr>
                </pic:pic>
              </a:graphicData>
            </a:graphic>
            <wp14:sizeRelH relativeFrom="margin">
              <wp14:pctWidth>0</wp14:pctWidth>
            </wp14:sizeRelH>
          </wp:anchor>
        </w:drawing>
      </w:r>
    </w:p>
    <w:p w14:paraId="184B25A3" w14:textId="77777777" w:rsidR="008510B1" w:rsidRDefault="008510B1">
      <w:pPr>
        <w:widowControl w:val="0"/>
        <w:pBdr>
          <w:top w:val="nil"/>
          <w:left w:val="nil"/>
          <w:bottom w:val="nil"/>
          <w:right w:val="nil"/>
          <w:between w:val="nil"/>
        </w:pBdr>
        <w:spacing w:before="5659" w:line="199" w:lineRule="auto"/>
        <w:rPr>
          <w:rFonts w:ascii="Times New Roman" w:eastAsia="Times New Roman" w:hAnsi="Times New Roman" w:cs="Times New Roman"/>
          <w:color w:val="000000"/>
          <w:sz w:val="24"/>
          <w:szCs w:val="24"/>
        </w:rPr>
      </w:pPr>
    </w:p>
    <w:sectPr w:rsidR="008510B1">
      <w:headerReference w:type="default" r:id="rId11"/>
      <w:footerReference w:type="default" r:id="rId12"/>
      <w:pgSz w:w="11920" w:h="16840"/>
      <w:pgMar w:top="1133" w:right="1133" w:bottom="1133" w:left="113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F30D0" w14:textId="77777777" w:rsidR="00A87CC8" w:rsidRDefault="00A87CC8">
      <w:pPr>
        <w:spacing w:line="240" w:lineRule="auto"/>
      </w:pPr>
      <w:r>
        <w:separator/>
      </w:r>
    </w:p>
  </w:endnote>
  <w:endnote w:type="continuationSeparator" w:id="0">
    <w:p w14:paraId="3C036E10" w14:textId="77777777" w:rsidR="00A87CC8" w:rsidRDefault="00A87C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208565"/>
      <w:docPartObj>
        <w:docPartGallery w:val="Page Numbers (Bottom of Page)"/>
        <w:docPartUnique/>
      </w:docPartObj>
    </w:sdtPr>
    <w:sdtContent>
      <w:p w14:paraId="565C2B31" w14:textId="0C303AC2" w:rsidR="00B31A02" w:rsidRDefault="00B31A02">
        <w:pPr>
          <w:pStyle w:val="Rodap"/>
          <w:jc w:val="right"/>
        </w:pPr>
        <w:r>
          <w:fldChar w:fldCharType="begin"/>
        </w:r>
        <w:r>
          <w:instrText>PAGE   \* MERGEFORMAT</w:instrText>
        </w:r>
        <w:r>
          <w:fldChar w:fldCharType="separate"/>
        </w:r>
        <w:r>
          <w:t>2</w:t>
        </w:r>
        <w:r>
          <w:fldChar w:fldCharType="end"/>
        </w:r>
      </w:p>
    </w:sdtContent>
  </w:sdt>
  <w:p w14:paraId="17C40C30" w14:textId="77777777" w:rsidR="00B31A02" w:rsidRDefault="00B31A0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8F378" w14:textId="77777777" w:rsidR="00A87CC8" w:rsidRDefault="00A87CC8">
      <w:pPr>
        <w:spacing w:line="240" w:lineRule="auto"/>
      </w:pPr>
      <w:r>
        <w:separator/>
      </w:r>
    </w:p>
  </w:footnote>
  <w:footnote w:type="continuationSeparator" w:id="0">
    <w:p w14:paraId="63E781FE" w14:textId="77777777" w:rsidR="00A87CC8" w:rsidRDefault="00A87CC8">
      <w:pPr>
        <w:spacing w:line="240" w:lineRule="auto"/>
      </w:pPr>
      <w:r>
        <w:continuationSeparator/>
      </w:r>
    </w:p>
  </w:footnote>
  <w:footnote w:id="1">
    <w:p w14:paraId="1AD5355B" w14:textId="6E71F7A1" w:rsidR="00C137E1" w:rsidRDefault="00C137E1">
      <w:pPr>
        <w:pStyle w:val="Textodenotaderodap"/>
      </w:pPr>
      <w:r>
        <w:rPr>
          <w:rStyle w:val="Refdenotaderodap"/>
        </w:rPr>
        <w:footnoteRef/>
      </w:r>
      <w:r>
        <w:t xml:space="preserve"> Economista Graduada pela Universidade Estadual do Sudoeste da Bahia – UESB.</w:t>
      </w:r>
    </w:p>
  </w:footnote>
  <w:footnote w:id="2">
    <w:p w14:paraId="579A4698" w14:textId="7ABF755B" w:rsidR="00C137E1" w:rsidRDefault="00C137E1">
      <w:pPr>
        <w:pStyle w:val="Textodenotaderodap"/>
      </w:pPr>
      <w:r>
        <w:rPr>
          <w:rStyle w:val="Refdenotaderodap"/>
        </w:rPr>
        <w:footnoteRef/>
      </w:r>
      <w:r>
        <w:t xml:space="preserve"> Professor Titular do Curso de Ciências Econômicas da UESB.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AEDD" w14:textId="77777777" w:rsidR="008510B1" w:rsidRDefault="00000000">
    <w:r>
      <w:rPr>
        <w:noProof/>
      </w:rPr>
      <w:drawing>
        <wp:inline distT="0" distB="0" distL="0" distR="0" wp14:anchorId="045AA33A" wp14:editId="2434A13E">
          <wp:extent cx="6130290" cy="7988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30290" cy="7988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64502D3"/>
    <w:multiLevelType w:val="multilevel"/>
    <w:tmpl w:val="31F4B6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2582617">
    <w:abstractNumId w:val="0"/>
  </w:num>
  <w:num w:numId="2" w16cid:durableId="1497383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0B1"/>
    <w:rsid w:val="00226FE5"/>
    <w:rsid w:val="00251077"/>
    <w:rsid w:val="00281A16"/>
    <w:rsid w:val="00312A52"/>
    <w:rsid w:val="005101BC"/>
    <w:rsid w:val="00530B04"/>
    <w:rsid w:val="006734C2"/>
    <w:rsid w:val="00721185"/>
    <w:rsid w:val="00727CB3"/>
    <w:rsid w:val="007D56D3"/>
    <w:rsid w:val="007E3CEE"/>
    <w:rsid w:val="00813216"/>
    <w:rsid w:val="008510B1"/>
    <w:rsid w:val="008C686E"/>
    <w:rsid w:val="009C2D5D"/>
    <w:rsid w:val="00A87CC8"/>
    <w:rsid w:val="00AD3A74"/>
    <w:rsid w:val="00B31A02"/>
    <w:rsid w:val="00B96B8F"/>
    <w:rsid w:val="00BD4605"/>
    <w:rsid w:val="00C137E1"/>
    <w:rsid w:val="00C4692F"/>
    <w:rsid w:val="00EE44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4797D"/>
  <w15:docId w15:val="{CF0445FF-B4CC-4438-9F77-5E55022B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AD3A74"/>
    <w:pPr>
      <w:spacing w:after="160" w:line="259" w:lineRule="auto"/>
      <w:ind w:left="720"/>
      <w:contextualSpacing/>
    </w:pPr>
    <w:rPr>
      <w:rFonts w:asciiTheme="minorHAnsi" w:eastAsiaTheme="minorHAnsi" w:hAnsiTheme="minorHAnsi" w:cstheme="minorBidi"/>
      <w:lang w:eastAsia="en-US"/>
    </w:rPr>
  </w:style>
  <w:style w:type="character" w:styleId="Hyperlink">
    <w:name w:val="Hyperlink"/>
    <w:basedOn w:val="Fontepargpadro"/>
    <w:unhideWhenUsed/>
    <w:qFormat/>
    <w:rsid w:val="00AD3A74"/>
    <w:rPr>
      <w:color w:val="0000FF"/>
      <w:u w:val="single"/>
    </w:rPr>
  </w:style>
  <w:style w:type="paragraph" w:styleId="Corpodetexto">
    <w:name w:val="Body Text"/>
    <w:basedOn w:val="Normal"/>
    <w:link w:val="CorpodetextoChar"/>
    <w:uiPriority w:val="1"/>
    <w:unhideWhenUsed/>
    <w:qFormat/>
    <w:rsid w:val="00AD3A74"/>
    <w:pPr>
      <w:spacing w:after="120"/>
    </w:pPr>
    <w:rPr>
      <w:rFonts w:ascii="Calibri" w:eastAsia="Calibri" w:hAnsi="Calibri" w:cs="Times New Roman"/>
      <w:lang w:eastAsia="en-US"/>
    </w:rPr>
  </w:style>
  <w:style w:type="character" w:customStyle="1" w:styleId="CorpodetextoChar">
    <w:name w:val="Corpo de texto Char"/>
    <w:basedOn w:val="Fontepargpadro"/>
    <w:link w:val="Corpodetexto"/>
    <w:uiPriority w:val="1"/>
    <w:rsid w:val="00AD3A74"/>
    <w:rPr>
      <w:rFonts w:ascii="Calibri" w:eastAsia="Calibri" w:hAnsi="Calibri" w:cs="Times New Roman"/>
      <w:lang w:eastAsia="en-US"/>
    </w:rPr>
  </w:style>
  <w:style w:type="paragraph" w:styleId="Recuodecorpodetexto">
    <w:name w:val="Body Text Indent"/>
    <w:basedOn w:val="Normal"/>
    <w:link w:val="RecuodecorpodetextoChar"/>
    <w:uiPriority w:val="99"/>
    <w:unhideWhenUsed/>
    <w:rsid w:val="00AD3A74"/>
    <w:pPr>
      <w:spacing w:after="120" w:line="259" w:lineRule="auto"/>
      <w:ind w:left="283"/>
    </w:pPr>
    <w:rPr>
      <w:rFonts w:asciiTheme="minorHAnsi" w:eastAsiaTheme="minorHAnsi" w:hAnsiTheme="minorHAnsi" w:cstheme="minorBidi"/>
      <w:lang w:eastAsia="en-US"/>
    </w:rPr>
  </w:style>
  <w:style w:type="character" w:customStyle="1" w:styleId="RecuodecorpodetextoChar">
    <w:name w:val="Recuo de corpo de texto Char"/>
    <w:basedOn w:val="Fontepargpadro"/>
    <w:link w:val="Recuodecorpodetexto"/>
    <w:uiPriority w:val="99"/>
    <w:rsid w:val="00AD3A74"/>
    <w:rPr>
      <w:rFonts w:asciiTheme="minorHAnsi" w:eastAsiaTheme="minorHAnsi" w:hAnsiTheme="minorHAnsi" w:cstheme="minorBidi"/>
      <w:lang w:eastAsia="en-US"/>
    </w:rPr>
  </w:style>
  <w:style w:type="table" w:customStyle="1" w:styleId="Style10">
    <w:name w:val="_Style 10"/>
    <w:basedOn w:val="Tabelanormal"/>
    <w:qFormat/>
    <w:rsid w:val="00AD3A74"/>
    <w:pPr>
      <w:spacing w:line="240" w:lineRule="auto"/>
    </w:pPr>
    <w:rPr>
      <w:rFonts w:ascii="Times New Roman" w:eastAsia="SimSun" w:hAnsi="Times New Roman" w:cs="Times New Roman"/>
      <w:sz w:val="20"/>
      <w:szCs w:val="20"/>
    </w:rPr>
    <w:tblPr>
      <w:tblInd w:w="0" w:type="nil"/>
      <w:tblCellMar>
        <w:left w:w="70" w:type="dxa"/>
        <w:right w:w="70" w:type="dxa"/>
      </w:tblCellMar>
    </w:tblPr>
  </w:style>
  <w:style w:type="paragraph" w:styleId="Corpodetexto2">
    <w:name w:val="Body Text 2"/>
    <w:basedOn w:val="Normal"/>
    <w:link w:val="Corpodetexto2Char"/>
    <w:uiPriority w:val="99"/>
    <w:semiHidden/>
    <w:unhideWhenUsed/>
    <w:rsid w:val="00C4692F"/>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semiHidden/>
    <w:rsid w:val="00C4692F"/>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B31A02"/>
    <w:pPr>
      <w:tabs>
        <w:tab w:val="center" w:pos="4252"/>
        <w:tab w:val="right" w:pos="8504"/>
      </w:tabs>
      <w:spacing w:line="240" w:lineRule="auto"/>
    </w:pPr>
  </w:style>
  <w:style w:type="character" w:customStyle="1" w:styleId="CabealhoChar">
    <w:name w:val="Cabeçalho Char"/>
    <w:basedOn w:val="Fontepargpadro"/>
    <w:link w:val="Cabealho"/>
    <w:uiPriority w:val="99"/>
    <w:rsid w:val="00B31A02"/>
  </w:style>
  <w:style w:type="paragraph" w:styleId="Rodap">
    <w:name w:val="footer"/>
    <w:basedOn w:val="Normal"/>
    <w:link w:val="RodapChar"/>
    <w:uiPriority w:val="99"/>
    <w:unhideWhenUsed/>
    <w:rsid w:val="00B31A02"/>
    <w:pPr>
      <w:tabs>
        <w:tab w:val="center" w:pos="4252"/>
        <w:tab w:val="right" w:pos="8504"/>
      </w:tabs>
      <w:spacing w:line="240" w:lineRule="auto"/>
    </w:pPr>
  </w:style>
  <w:style w:type="character" w:customStyle="1" w:styleId="RodapChar">
    <w:name w:val="Rodapé Char"/>
    <w:basedOn w:val="Fontepargpadro"/>
    <w:link w:val="Rodap"/>
    <w:uiPriority w:val="99"/>
    <w:rsid w:val="00B31A02"/>
  </w:style>
  <w:style w:type="character" w:styleId="MenoPendente">
    <w:name w:val="Unresolved Mention"/>
    <w:basedOn w:val="Fontepargpadro"/>
    <w:uiPriority w:val="99"/>
    <w:semiHidden/>
    <w:unhideWhenUsed/>
    <w:rsid w:val="00281A16"/>
    <w:rPr>
      <w:color w:val="605E5C"/>
      <w:shd w:val="clear" w:color="auto" w:fill="E1DFDD"/>
    </w:rPr>
  </w:style>
  <w:style w:type="paragraph" w:styleId="Textodenotaderodap">
    <w:name w:val="footnote text"/>
    <w:basedOn w:val="Normal"/>
    <w:link w:val="TextodenotaderodapChar"/>
    <w:uiPriority w:val="99"/>
    <w:semiHidden/>
    <w:unhideWhenUsed/>
    <w:rsid w:val="00C137E1"/>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137E1"/>
    <w:rPr>
      <w:sz w:val="20"/>
      <w:szCs w:val="20"/>
    </w:rPr>
  </w:style>
  <w:style w:type="character" w:styleId="Refdenotaderodap">
    <w:name w:val="footnote reference"/>
    <w:basedOn w:val="Fontepargpadro"/>
    <w:uiPriority w:val="99"/>
    <w:semiHidden/>
    <w:unhideWhenUsed/>
    <w:rsid w:val="00C137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iposit.ub.edu/dspace/handle/2445/420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periodicos2.uesb.br/index.php/ccsa/article/view/1367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CBA1C-6CBE-445F-BE57-0CB6DB2E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7885</Words>
  <Characters>44318</Characters>
  <Application>Microsoft Office Word</Application>
  <DocSecurity>0</DocSecurity>
  <Lines>904</Lines>
  <Paragraphs>427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PAULO</dc:creator>
  <cp:lastModifiedBy>JOSÉ ANTONIO GONÇALVES DOS SANTOS</cp:lastModifiedBy>
  <cp:revision>2</cp:revision>
  <dcterms:created xsi:type="dcterms:W3CDTF">2025-11-28T16:33:00Z</dcterms:created>
  <dcterms:modified xsi:type="dcterms:W3CDTF">2025-11-28T16:33:00Z</dcterms:modified>
</cp:coreProperties>
</file>